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2F8" w14:textId="641DB7C8" w:rsidR="00227B20" w:rsidRDefault="0006242B" w:rsidP="00F5105E">
      <w:pPr>
        <w:pStyle w:val="TITLECAPS"/>
        <w:spacing w:after="0"/>
        <w:jc w:val="both"/>
        <w:rPr>
          <w:rFonts w:ascii="Times New Roman" w:hAnsi="Times New Roman"/>
          <w:sz w:val="20"/>
          <w:szCs w:val="20"/>
        </w:rPr>
      </w:pPr>
      <w:r w:rsidRPr="0006242B">
        <w:rPr>
          <w:rFonts w:ascii="Times New Roman" w:eastAsia="Times New Roman" w:hAnsi="Times New Roman"/>
          <w:bCs/>
          <w:color w:val="44546A"/>
          <w:sz w:val="20"/>
          <w:szCs w:val="20"/>
          <w:lang w:val="fi-FI"/>
        </w:rPr>
        <w:t>Fluken kevään tarjoukset</w:t>
      </w:r>
      <w:r>
        <w:rPr>
          <w:rFonts w:ascii="Times New Roman" w:eastAsia="Times New Roman" w:hAnsi="Times New Roman"/>
          <w:bCs/>
          <w:color w:val="44546A"/>
          <w:sz w:val="20"/>
          <w:szCs w:val="20"/>
          <w:lang w:val="fi-FI"/>
        </w:rPr>
        <w:t xml:space="preserve">; </w:t>
      </w:r>
      <w:r w:rsidRPr="0006242B">
        <w:rPr>
          <w:rFonts w:ascii="Times New Roman" w:eastAsia="Times New Roman" w:hAnsi="Times New Roman"/>
          <w:bCs/>
          <w:color w:val="44546A"/>
          <w:sz w:val="20"/>
          <w:szCs w:val="20"/>
          <w:lang w:val="fi-FI"/>
        </w:rPr>
        <w:t>Osta yksi, saat yhden ilmaiseksi</w:t>
      </w:r>
      <w:r>
        <w:rPr>
          <w:rFonts w:ascii="Times New Roman" w:eastAsia="Times New Roman" w:hAnsi="Times New Roman"/>
          <w:bCs/>
          <w:color w:val="44546A"/>
          <w:sz w:val="20"/>
          <w:szCs w:val="20"/>
          <w:lang w:val="fi-FI"/>
        </w:rPr>
        <w:t xml:space="preserve"> - 2025</w:t>
      </w:r>
    </w:p>
    <w:p w14:paraId="3619DD04" w14:textId="77777777" w:rsidR="00495496" w:rsidRPr="006E3C14" w:rsidRDefault="00495496" w:rsidP="00F23A2D">
      <w:pPr>
        <w:pStyle w:val="BodyText"/>
        <w:ind w:left="0"/>
        <w:rPr>
          <w:rFonts w:ascii="Times New Roman" w:hAnsi="Times New Roman"/>
          <w:sz w:val="20"/>
        </w:rPr>
      </w:pPr>
    </w:p>
    <w:p w14:paraId="1D151DE0" w14:textId="77777777" w:rsidR="00F23A2D" w:rsidRPr="006E3C14" w:rsidRDefault="003433C9" w:rsidP="006E3C14">
      <w:pPr>
        <w:pStyle w:val="BodyText"/>
        <w:ind w:left="0"/>
        <w:rPr>
          <w:rFonts w:ascii="Times New Roman" w:hAnsi="Times New Roman"/>
          <w:b/>
          <w:color w:val="44546A" w:themeColor="text2"/>
          <w:sz w:val="20"/>
          <w:szCs w:val="20"/>
        </w:rPr>
      </w:pPr>
      <w:r>
        <w:rPr>
          <w:rFonts w:ascii="Times New Roman" w:eastAsia="Times New Roman" w:hAnsi="Times New Roman"/>
          <w:b/>
          <w:bCs/>
          <w:color w:val="44546A"/>
          <w:sz w:val="20"/>
          <w:szCs w:val="20"/>
          <w:lang w:val="fi-FI"/>
        </w:rPr>
        <w:t>Lyhyet ehdot</w:t>
      </w:r>
    </w:p>
    <w:p w14:paraId="6B5B2FF9" w14:textId="22C04BB5" w:rsidR="00F23A2D" w:rsidRPr="005517A6" w:rsidRDefault="003433C9"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i-FI"/>
        </w:rPr>
        <w:t xml:space="preserve">Saat Fluke-työkalun kaupan päälle, kun teet ostoksen, jonka arvo on vähintään </w:t>
      </w:r>
      <w:r w:rsidRPr="002F2AC1">
        <w:rPr>
          <w:rFonts w:ascii="Times New Roman" w:eastAsia="Times New Roman" w:hAnsi="Times New Roman"/>
          <w:b/>
          <w:bCs/>
          <w:sz w:val="20"/>
          <w:szCs w:val="20"/>
          <w:lang w:val="fi-FI"/>
        </w:rPr>
        <w:t>150 €</w:t>
      </w:r>
      <w:r w:rsidRPr="005517A6">
        <w:rPr>
          <w:rFonts w:ascii="Times New Roman" w:eastAsia="Times New Roman" w:hAnsi="Times New Roman"/>
          <w:sz w:val="20"/>
          <w:szCs w:val="20"/>
          <w:lang w:val="fi-FI"/>
        </w:rPr>
        <w:t xml:space="preserve"> (alv0%).*</w:t>
      </w:r>
    </w:p>
    <w:p w14:paraId="1ECC5C6C" w14:textId="4625171A" w:rsidR="00F23A2D" w:rsidRPr="005517A6" w:rsidRDefault="003433C9" w:rsidP="006E3C14">
      <w:pPr>
        <w:pStyle w:val="BodyText"/>
        <w:spacing w:after="0"/>
        <w:ind w:left="0"/>
        <w:jc w:val="both"/>
        <w:rPr>
          <w:rFonts w:ascii="Times New Roman" w:hAnsi="Times New Roman"/>
          <w:sz w:val="20"/>
        </w:rPr>
      </w:pPr>
      <w:r w:rsidRPr="005517A6">
        <w:rPr>
          <w:rFonts w:ascii="Times New Roman" w:eastAsia="Times New Roman" w:hAnsi="Times New Roman"/>
          <w:sz w:val="20"/>
          <w:szCs w:val="20"/>
          <w:lang w:val="fi-FI"/>
        </w:rPr>
        <w:t>Näin saat työkalun Flukelta kaupan päälle:</w:t>
      </w:r>
    </w:p>
    <w:p w14:paraId="21025289" w14:textId="0C1EED6A" w:rsidR="00F23A2D" w:rsidRPr="005517A6" w:rsidRDefault="003433C9" w:rsidP="006E3C14">
      <w:pPr>
        <w:pStyle w:val="BodyText"/>
        <w:numPr>
          <w:ilvl w:val="0"/>
          <w:numId w:val="10"/>
        </w:numPr>
        <w:spacing w:after="0"/>
        <w:ind w:left="426" w:hanging="426"/>
        <w:jc w:val="both"/>
        <w:rPr>
          <w:rFonts w:ascii="Times New Roman" w:hAnsi="Times New Roman"/>
          <w:sz w:val="20"/>
        </w:rPr>
      </w:pPr>
      <w:r w:rsidRPr="005517A6">
        <w:rPr>
          <w:rFonts w:ascii="Times New Roman" w:eastAsia="Times New Roman" w:hAnsi="Times New Roman"/>
          <w:sz w:val="20"/>
          <w:szCs w:val="20"/>
          <w:lang w:val="fi-FI"/>
        </w:rPr>
        <w:t xml:space="preserve">Käytä vähintään 150 € (ALV 0%) kampanjaan kuuluvaan Fluke-tuotteeseen (-tuotteisiin) </w:t>
      </w:r>
      <w:r w:rsidRPr="002F2AC1">
        <w:rPr>
          <w:rFonts w:ascii="Times New Roman" w:eastAsia="Times New Roman" w:hAnsi="Times New Roman"/>
          <w:b/>
          <w:bCs/>
          <w:sz w:val="20"/>
          <w:szCs w:val="20"/>
          <w:lang w:val="fi-FI"/>
        </w:rPr>
        <w:t>1</w:t>
      </w:r>
      <w:r w:rsidR="0006242B">
        <w:rPr>
          <w:rFonts w:ascii="Times New Roman" w:eastAsia="Times New Roman" w:hAnsi="Times New Roman"/>
          <w:b/>
          <w:bCs/>
          <w:sz w:val="20"/>
          <w:szCs w:val="20"/>
          <w:lang w:val="fi-FI"/>
        </w:rPr>
        <w:t>7-02-2025 ja 31-07-2025</w:t>
      </w:r>
      <w:r w:rsidRPr="002F2AC1">
        <w:rPr>
          <w:rFonts w:ascii="Times New Roman" w:eastAsia="Times New Roman" w:hAnsi="Times New Roman"/>
          <w:b/>
          <w:bCs/>
          <w:sz w:val="20"/>
          <w:szCs w:val="20"/>
          <w:lang w:val="fi-FI"/>
        </w:rPr>
        <w:t xml:space="preserve"> </w:t>
      </w:r>
      <w:r w:rsidRPr="005517A6">
        <w:rPr>
          <w:rFonts w:ascii="Times New Roman" w:eastAsia="Times New Roman" w:hAnsi="Times New Roman"/>
          <w:sz w:val="20"/>
          <w:szCs w:val="20"/>
          <w:lang w:val="fi-FI"/>
        </w:rPr>
        <w:t xml:space="preserve">välisenä aikana. </w:t>
      </w:r>
    </w:p>
    <w:p w14:paraId="71250731" w14:textId="786E2516" w:rsidR="00F23A2D" w:rsidRPr="003433C9" w:rsidRDefault="003433C9" w:rsidP="006E3C14">
      <w:pPr>
        <w:pStyle w:val="BodyText"/>
        <w:numPr>
          <w:ilvl w:val="0"/>
          <w:numId w:val="11"/>
        </w:numPr>
        <w:spacing w:after="0"/>
        <w:ind w:left="709"/>
        <w:jc w:val="both"/>
        <w:rPr>
          <w:rFonts w:ascii="Times New Roman" w:hAnsi="Times New Roman"/>
          <w:sz w:val="20"/>
          <w:lang w:val="fi-FI"/>
        </w:rPr>
      </w:pPr>
      <w:r>
        <w:rPr>
          <w:rFonts w:ascii="Times New Roman" w:eastAsia="Times New Roman" w:hAnsi="Times New Roman"/>
          <w:sz w:val="20"/>
          <w:szCs w:val="20"/>
          <w:lang w:val="fi-FI"/>
        </w:rPr>
        <w:t xml:space="preserve">Euroopan unionissa (mannermaat), Yhdistyneessä kuningaskunnassa, Sveitsissä, Norjassa, Ruotsissa, Suomessa, Albaniassa, Bosnia-Hertsegovinassa, Islannissa, Makedoniassa ja Serbiassa asuvat loppukäyttäjäasiakkaat (ei koske Kanariansaaria, Ukrainaa ja maita, joihin sovelletaan tällä hetkellä EU:n tai Yhdysvaltojen kauppapakotteita) (”kampanja-alue”) ovat oikeutettuja osallistumaan tähän kampanjaan. Tuotteet on ostettava valtuutetulta Fluke-jälleenmyyjältä asiakkaan asuinmaassa, joka kuuluu kampanjan kattamiin maihin. </w:t>
      </w:r>
    </w:p>
    <w:p w14:paraId="3491D032" w14:textId="77777777" w:rsidR="00F23A2D" w:rsidRPr="003433C9" w:rsidRDefault="003433C9" w:rsidP="006E3C14">
      <w:pPr>
        <w:pStyle w:val="BodyText"/>
        <w:numPr>
          <w:ilvl w:val="0"/>
          <w:numId w:val="11"/>
        </w:numPr>
        <w:spacing w:after="0"/>
        <w:ind w:left="709"/>
        <w:jc w:val="both"/>
        <w:rPr>
          <w:rFonts w:ascii="Times New Roman" w:hAnsi="Times New Roman"/>
          <w:sz w:val="20"/>
          <w:lang w:val="fi-FI"/>
        </w:rPr>
      </w:pPr>
      <w:r>
        <w:rPr>
          <w:rFonts w:ascii="Times New Roman" w:eastAsia="Times New Roman" w:hAnsi="Times New Roman"/>
          <w:sz w:val="20"/>
          <w:szCs w:val="20"/>
          <w:lang w:val="fi-FI"/>
        </w:rPr>
        <w:t xml:space="preserve">Ostosta on oltava todiste joko kuitin tai laskun muodossa. </w:t>
      </w:r>
      <w:bookmarkStart w:id="0" w:name="_Hlk29220021"/>
      <w:r>
        <w:rPr>
          <w:rFonts w:ascii="Times New Roman" w:eastAsia="Times New Roman" w:hAnsi="Times New Roman"/>
          <w:sz w:val="20"/>
          <w:szCs w:val="20"/>
          <w:lang w:val="fi-FI"/>
        </w:rPr>
        <w:t>Pakkauslähetteet, ostotilaukset tai tilausvahvistukset eivät ole hyväksyttäviä tositteita ostosta.</w:t>
      </w:r>
      <w:bookmarkEnd w:id="0"/>
    </w:p>
    <w:p w14:paraId="58ECEF7F" w14:textId="77777777" w:rsidR="00F23A2D" w:rsidRPr="003433C9" w:rsidRDefault="003433C9"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fi-FI"/>
        </w:rPr>
        <w:t>Tämä kampanja koskee vain tiettyjä Fluke-tuotteita.</w:t>
      </w:r>
    </w:p>
    <w:p w14:paraId="14ACB31B" w14:textId="77777777" w:rsidR="00F23A2D" w:rsidRPr="003433C9" w:rsidRDefault="003433C9"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fi-FI"/>
        </w:rPr>
        <w:t>Jos kyseessä on verkko-ostos, kuljetusliikkeen, toimituspäivämäärän ja sähköisen seurantatunnuksen sisältävä toimitustodistus on esitettävä.</w:t>
      </w:r>
    </w:p>
    <w:p w14:paraId="405FCFBA" w14:textId="1CB2B695" w:rsidR="00F23A2D" w:rsidRPr="00F51458" w:rsidRDefault="003433C9"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fi-FI"/>
        </w:rPr>
        <w:t>Lunasta lahjasi verkossa! Käy osoitteess</w:t>
      </w:r>
      <w:r w:rsidR="005517A6">
        <w:rPr>
          <w:rFonts w:ascii="Times New Roman" w:eastAsia="Times New Roman" w:hAnsi="Times New Roman"/>
          <w:sz w:val="20"/>
          <w:szCs w:val="20"/>
          <w:lang w:val="fi-FI"/>
        </w:rPr>
        <w:t xml:space="preserve">fi </w:t>
      </w:r>
      <w:hyperlink r:id="rId12" w:history="1">
        <w:r w:rsidR="0006242B" w:rsidRPr="0031558E">
          <w:rPr>
            <w:rStyle w:val="Hyperlink"/>
            <w:rFonts w:ascii="Times New Roman" w:eastAsia="Times New Roman" w:hAnsi="Times New Roman"/>
            <w:sz w:val="20"/>
            <w:szCs w:val="20"/>
            <w:lang w:val="fi-FI"/>
          </w:rPr>
          <w:t>www.fluke.fi/freegift</w:t>
        </w:r>
      </w:hyperlink>
      <w:r>
        <w:rPr>
          <w:rFonts w:ascii="Times New Roman" w:eastAsia="Times New Roman" w:hAnsi="Times New Roman"/>
          <w:sz w:val="20"/>
          <w:szCs w:val="20"/>
          <w:lang w:val="fi-FI"/>
        </w:rPr>
        <w:t xml:space="preserve"> </w:t>
      </w:r>
    </w:p>
    <w:p w14:paraId="3A8A3F6A" w14:textId="10666C28" w:rsidR="00F23A2D" w:rsidRPr="006E3C14" w:rsidRDefault="003433C9"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fi-FI"/>
        </w:rPr>
        <w:t>Nauti uudesta Fluke-työkalustasi!</w:t>
      </w:r>
    </w:p>
    <w:p w14:paraId="64AF9C93" w14:textId="34B6902A" w:rsidR="00F23A2D" w:rsidRPr="006E3C14" w:rsidRDefault="003433C9"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i-FI"/>
        </w:rPr>
        <w:t xml:space="preserve">*Erillisiä kampanjaehtoja sovelletaan. Osallistumalla tähän kampanjaan hyväksyt sen ehdot. Lue kampanjaehdot osoitteessa </w:t>
      </w:r>
      <w:hyperlink r:id="rId13" w:history="1">
        <w:r w:rsidR="0006242B" w:rsidRPr="0031558E">
          <w:rPr>
            <w:rStyle w:val="Hyperlink"/>
            <w:rFonts w:ascii="Times New Roman" w:eastAsia="Times New Roman" w:hAnsi="Times New Roman"/>
            <w:sz w:val="20"/>
            <w:szCs w:val="20"/>
            <w:lang w:val="fi-FI"/>
          </w:rPr>
          <w:t>www.fluke.fi/freegift</w:t>
        </w:r>
      </w:hyperlink>
      <w:r>
        <w:rPr>
          <w:rFonts w:ascii="Times New Roman" w:eastAsia="Times New Roman" w:hAnsi="Times New Roman"/>
          <w:sz w:val="20"/>
          <w:szCs w:val="20"/>
          <w:lang w:val="fi-FI"/>
        </w:rPr>
        <w:t>.</w:t>
      </w:r>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3433C9"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fi-FI"/>
        </w:rPr>
        <w:t>Käyttöehdot</w:t>
      </w:r>
    </w:p>
    <w:p w14:paraId="1E8C0925" w14:textId="77777777" w:rsidR="00F5105E" w:rsidRPr="006D63B1" w:rsidRDefault="00F5105E" w:rsidP="00012874">
      <w:pPr>
        <w:rPr>
          <w:sz w:val="20"/>
          <w:szCs w:val="20"/>
        </w:rPr>
      </w:pPr>
    </w:p>
    <w:p w14:paraId="24478E83" w14:textId="361009FC" w:rsidR="00227B20" w:rsidRPr="006D63B1" w:rsidRDefault="003433C9" w:rsidP="000A4866">
      <w:pPr>
        <w:pStyle w:val="ListParagraph"/>
        <w:numPr>
          <w:ilvl w:val="0"/>
          <w:numId w:val="9"/>
        </w:numPr>
        <w:ind w:left="284" w:hanging="284"/>
        <w:jc w:val="both"/>
        <w:rPr>
          <w:sz w:val="20"/>
        </w:rPr>
      </w:pPr>
      <w:r>
        <w:rPr>
          <w:rFonts w:eastAsia="Times New Roman"/>
          <w:b/>
          <w:bCs/>
          <w:sz w:val="20"/>
          <w:szCs w:val="20"/>
          <w:lang w:val="fi-FI"/>
        </w:rPr>
        <w:t>Yleiskatsaus</w:t>
      </w:r>
      <w:r>
        <w:rPr>
          <w:rFonts w:eastAsia="Times New Roman"/>
          <w:sz w:val="20"/>
          <w:szCs w:val="20"/>
          <w:lang w:val="fi-FI"/>
        </w:rPr>
        <w:t>.  Saat vuoden 2024 Fluke-kampanjan ”</w:t>
      </w:r>
      <w:r w:rsidR="0006242B" w:rsidRPr="0006242B">
        <w:rPr>
          <w:lang w:val="fi-FI"/>
        </w:rPr>
        <w:t xml:space="preserve"> </w:t>
      </w:r>
      <w:r w:rsidR="0006242B" w:rsidRPr="0006242B">
        <w:rPr>
          <w:rFonts w:eastAsia="Times New Roman"/>
          <w:sz w:val="20"/>
          <w:szCs w:val="20"/>
          <w:lang w:val="fi-FI"/>
        </w:rPr>
        <w:t>Fluken kevään tarjoukset; Osta yksi, saat yhden ilmaiseksi - 2025</w:t>
      </w:r>
      <w:r>
        <w:rPr>
          <w:rFonts w:eastAsia="Times New Roman"/>
          <w:sz w:val="20"/>
          <w:szCs w:val="20"/>
          <w:lang w:val="fi-FI"/>
        </w:rPr>
        <w:t>” (”</w:t>
      </w:r>
      <w:r>
        <w:rPr>
          <w:rFonts w:eastAsia="Times New Roman"/>
          <w:b/>
          <w:bCs/>
          <w:i/>
          <w:iCs/>
          <w:sz w:val="20"/>
          <w:szCs w:val="20"/>
          <w:lang w:val="fi-FI"/>
        </w:rPr>
        <w:t>ohjelma</w:t>
      </w:r>
      <w:r>
        <w:rPr>
          <w:rFonts w:eastAsia="Times New Roman"/>
          <w:sz w:val="20"/>
          <w:szCs w:val="20"/>
          <w:lang w:val="fi-FI"/>
        </w:rPr>
        <w:t>” tai ”</w:t>
      </w:r>
      <w:r>
        <w:rPr>
          <w:rFonts w:eastAsia="Times New Roman"/>
          <w:b/>
          <w:bCs/>
          <w:i/>
          <w:iCs/>
          <w:sz w:val="20"/>
          <w:szCs w:val="20"/>
          <w:lang w:val="fi-FI"/>
        </w:rPr>
        <w:t>kampanja</w:t>
      </w:r>
      <w:r>
        <w:rPr>
          <w:rFonts w:eastAsia="Times New Roman"/>
          <w:sz w:val="20"/>
          <w:szCs w:val="20"/>
          <w:lang w:val="fi-FI"/>
        </w:rPr>
        <w:t xml:space="preserve">”) puitteissa </w:t>
      </w:r>
      <w:r w:rsidRPr="005517A6">
        <w:rPr>
          <w:rFonts w:eastAsia="Times New Roman"/>
          <w:sz w:val="20"/>
          <w:szCs w:val="20"/>
          <w:lang w:val="fi-FI"/>
        </w:rPr>
        <w:t>1</w:t>
      </w:r>
      <w:r w:rsidR="0006242B">
        <w:rPr>
          <w:rFonts w:eastAsia="Times New Roman"/>
          <w:sz w:val="20"/>
          <w:szCs w:val="20"/>
          <w:lang w:val="fi-FI"/>
        </w:rPr>
        <w:t>7-02-2025 – 31-07-2025</w:t>
      </w:r>
      <w:r w:rsidRPr="005517A6">
        <w:rPr>
          <w:rFonts w:eastAsia="Times New Roman"/>
          <w:sz w:val="20"/>
          <w:szCs w:val="20"/>
          <w:lang w:val="fi-FI"/>
        </w:rPr>
        <w:t xml:space="preserve"> välisenä</w:t>
      </w:r>
      <w:r>
        <w:rPr>
          <w:rFonts w:eastAsia="Times New Roman"/>
          <w:sz w:val="20"/>
          <w:szCs w:val="20"/>
          <w:lang w:val="fi-FI"/>
        </w:rPr>
        <w:t xml:space="preserve"> aikana (”</w:t>
      </w:r>
      <w:r>
        <w:rPr>
          <w:rFonts w:eastAsia="Times New Roman"/>
          <w:b/>
          <w:bCs/>
          <w:i/>
          <w:iCs/>
          <w:sz w:val="20"/>
          <w:szCs w:val="20"/>
          <w:lang w:val="fi-FI"/>
        </w:rPr>
        <w:t>kampanja-aika</w:t>
      </w:r>
      <w:r>
        <w:rPr>
          <w:rFonts w:eastAsia="Times New Roman"/>
          <w:sz w:val="20"/>
          <w:szCs w:val="20"/>
          <w:lang w:val="fi-FI"/>
        </w:rPr>
        <w:t>”) valitsemasi Fluke-tuotelahjan ilmaiseksi (”</w:t>
      </w:r>
      <w:r>
        <w:rPr>
          <w:rFonts w:eastAsia="Times New Roman"/>
          <w:b/>
          <w:bCs/>
          <w:i/>
          <w:iCs/>
          <w:sz w:val="20"/>
          <w:szCs w:val="20"/>
          <w:lang w:val="fi-FI"/>
        </w:rPr>
        <w:t>lahja</w:t>
      </w:r>
      <w:r>
        <w:rPr>
          <w:rFonts w:eastAsia="Times New Roman"/>
          <w:sz w:val="20"/>
          <w:szCs w:val="20"/>
          <w:lang w:val="fi-FI"/>
        </w:rPr>
        <w:t>”), kun ostat kampanjaan kuuluvan Fluken tuotteen (”</w:t>
      </w:r>
      <w:r>
        <w:rPr>
          <w:rFonts w:eastAsia="Times New Roman"/>
          <w:b/>
          <w:bCs/>
          <w:i/>
          <w:iCs/>
          <w:sz w:val="20"/>
          <w:szCs w:val="20"/>
          <w:lang w:val="fi-FI"/>
        </w:rPr>
        <w:t>ehdot täyttävä ostos</w:t>
      </w:r>
      <w:r>
        <w:rPr>
          <w:rFonts w:eastAsia="Times New Roman"/>
          <w:sz w:val="20"/>
          <w:szCs w:val="20"/>
          <w:lang w:val="fi-FI"/>
        </w:rPr>
        <w:t>”) alla kuvatulla tavalla valtuutetulta jälleenmyyjältä Euroopan unionissa, Yhdistyneessä kuningaskunnassa, Sveitsissä, Norjassa, Ruotsissa, Suomessa, Albaniassa, Bosnia-Hertsegovinassa, Islannissa, Pohjois-Makedoniassa tai Serbiassa (pois lukien Kanariansaaret, Ukraina ja maat, joihin sovelletaan tällä hetkellä EU:n tai Yhdysvaltojen asettamia talouspakotteita) (”</w:t>
      </w:r>
      <w:r>
        <w:rPr>
          <w:rFonts w:eastAsia="Times New Roman"/>
          <w:b/>
          <w:bCs/>
          <w:i/>
          <w:iCs/>
          <w:sz w:val="20"/>
          <w:szCs w:val="20"/>
          <w:lang w:val="fi-FI"/>
        </w:rPr>
        <w:t>kampanjan kattama alue</w:t>
      </w:r>
      <w:r>
        <w:rPr>
          <w:rFonts w:eastAsia="Times New Roman"/>
          <w:i/>
          <w:iCs/>
          <w:sz w:val="20"/>
          <w:szCs w:val="20"/>
          <w:lang w:val="fi-FI"/>
        </w:rPr>
        <w:t>”).</w:t>
      </w:r>
      <w:r>
        <w:rPr>
          <w:rFonts w:eastAsia="Times New Roman"/>
          <w:sz w:val="20"/>
          <w:szCs w:val="20"/>
          <w:lang w:val="fi-FI"/>
        </w:rPr>
        <w:t xml:space="preserve">  Jos haluat tehdä ehdot täyttävän ostoksen, ota suoraan yhteyttä Fluke Europe B.V:hen (”</w:t>
      </w:r>
      <w:r>
        <w:rPr>
          <w:rFonts w:eastAsia="Times New Roman"/>
          <w:b/>
          <w:bCs/>
          <w:i/>
          <w:iCs/>
          <w:sz w:val="20"/>
          <w:szCs w:val="20"/>
          <w:lang w:val="fi-FI"/>
        </w:rPr>
        <w:t>järjestäjä</w:t>
      </w:r>
      <w:r>
        <w:rPr>
          <w:rFonts w:eastAsia="Times New Roman"/>
          <w:i/>
          <w:iCs/>
          <w:sz w:val="20"/>
          <w:szCs w:val="20"/>
          <w:lang w:val="fi-FI"/>
        </w:rPr>
        <w:t>”)</w:t>
      </w:r>
      <w:r>
        <w:rPr>
          <w:rFonts w:eastAsia="Times New Roman"/>
          <w:sz w:val="20"/>
          <w:szCs w:val="20"/>
          <w:lang w:val="fi-FI"/>
        </w:rPr>
        <w:t xml:space="preserve"> tai etsi valtuutettu jälleenmyyjä. Valtuutetut jälleenmyyjät löydät </w:t>
      </w:r>
      <w:hyperlink r:id="rId14" w:history="1">
        <w:r>
          <w:rPr>
            <w:rFonts w:eastAsia="Times New Roman"/>
            <w:color w:val="0000FF"/>
            <w:sz w:val="20"/>
            <w:szCs w:val="20"/>
            <w:u w:val="single"/>
            <w:lang w:val="fi-FI"/>
          </w:rPr>
          <w:t>täältä</w:t>
        </w:r>
      </w:hyperlink>
      <w:r>
        <w:rPr>
          <w:rFonts w:eastAsia="Times New Roman"/>
          <w:color w:val="0000FF"/>
          <w:sz w:val="20"/>
          <w:szCs w:val="20"/>
          <w:lang w:val="fi-FI"/>
        </w:rPr>
        <w:t xml:space="preserve"> </w:t>
      </w:r>
      <w:r>
        <w:rPr>
          <w:rFonts w:eastAsia="Times New Roman"/>
          <w:sz w:val="20"/>
          <w:szCs w:val="20"/>
          <w:lang w:val="fi-FI"/>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Pr="003433C9" w:rsidRDefault="003433C9" w:rsidP="00F5105E">
      <w:pPr>
        <w:pStyle w:val="BodyText"/>
        <w:spacing w:after="0"/>
        <w:ind w:left="270"/>
        <w:jc w:val="both"/>
        <w:rPr>
          <w:rFonts w:ascii="Times New Roman" w:hAnsi="Times New Roman"/>
          <w:sz w:val="20"/>
          <w:szCs w:val="20"/>
          <w:lang w:val="fi-FI"/>
        </w:rPr>
      </w:pPr>
      <w:r>
        <w:rPr>
          <w:rFonts w:ascii="Times New Roman" w:eastAsia="Times New Roman" w:hAnsi="Times New Roman"/>
          <w:sz w:val="20"/>
          <w:szCs w:val="20"/>
          <w:lang w:val="fi-FI"/>
        </w:rPr>
        <w:t>Jokainen ehdot täyttävä ostos on tehtävä kampanja-aikana, ja ostopäivän tulee näkyä asiakkaan laskussa/kuitissa. Kampanja koskee vain kampanja-aikana tehtyjä ostoja. Kampanjan puitteissa saatavilla olevaa tarjousta ei voi yhdistää muihin tarjouksiin tai lunastaa vaihtoehtoisina tuotteina, palveluina, rahana tai krediitteinä, ellei sitä ole nimenomaisesti sallittu näissä ehdoissa.</w:t>
      </w:r>
    </w:p>
    <w:p w14:paraId="371C7436" w14:textId="77777777" w:rsidR="000A4866" w:rsidRPr="003433C9" w:rsidRDefault="000A4866" w:rsidP="000A4866">
      <w:pPr>
        <w:pStyle w:val="ListParagraph"/>
        <w:ind w:left="284"/>
        <w:jc w:val="both"/>
        <w:rPr>
          <w:sz w:val="20"/>
          <w:lang w:val="fi-FI"/>
        </w:rPr>
      </w:pPr>
    </w:p>
    <w:p w14:paraId="6A667635" w14:textId="77777777" w:rsidR="005517A6" w:rsidRPr="00EF62FE" w:rsidRDefault="005517A6" w:rsidP="005517A6">
      <w:pPr>
        <w:pStyle w:val="ListParagraph"/>
        <w:numPr>
          <w:ilvl w:val="0"/>
          <w:numId w:val="9"/>
        </w:numPr>
        <w:ind w:left="284" w:hanging="284"/>
        <w:jc w:val="both"/>
        <w:rPr>
          <w:sz w:val="20"/>
          <w:lang w:val="fi-FI"/>
        </w:rPr>
      </w:pPr>
      <w:r>
        <w:rPr>
          <w:rFonts w:eastAsia="Times New Roman"/>
          <w:b/>
          <w:bCs/>
          <w:sz w:val="20"/>
          <w:szCs w:val="20"/>
          <w:lang w:val="fi-FI"/>
        </w:rPr>
        <w:t>Kelpoisuus</w:t>
      </w:r>
      <w:r>
        <w:rPr>
          <w:rFonts w:eastAsia="Times New Roman"/>
          <w:sz w:val="20"/>
          <w:szCs w:val="20"/>
          <w:lang w:val="fi-FI"/>
        </w:rPr>
        <w:t xml:space="preserve">:  Kampanja ei ole voimassa maissa, joissa se on lailla kielletty, ja se on voimassa vain ohjelman kattamalla alueella asuville asiakkaille.  </w:t>
      </w:r>
    </w:p>
    <w:p w14:paraId="77D1C1E4" w14:textId="77777777" w:rsidR="005517A6" w:rsidRPr="00EF62FE" w:rsidRDefault="005517A6" w:rsidP="005517A6">
      <w:pPr>
        <w:pStyle w:val="ListParagraph"/>
        <w:ind w:left="284"/>
        <w:jc w:val="both"/>
        <w:rPr>
          <w:sz w:val="20"/>
          <w:lang w:val="fi-FI"/>
        </w:rPr>
      </w:pPr>
    </w:p>
    <w:p w14:paraId="45084495" w14:textId="77777777" w:rsidR="005517A6" w:rsidRPr="00EF62FE" w:rsidRDefault="005517A6" w:rsidP="005517A6">
      <w:pPr>
        <w:pStyle w:val="BodyText"/>
        <w:spacing w:after="0"/>
        <w:ind w:left="270"/>
        <w:jc w:val="both"/>
        <w:rPr>
          <w:rFonts w:ascii="Times New Roman" w:hAnsi="Times New Roman"/>
          <w:sz w:val="20"/>
          <w:lang w:val="fi-FI"/>
        </w:rPr>
      </w:pPr>
      <w:r>
        <w:rPr>
          <w:rFonts w:ascii="Times New Roman" w:eastAsia="Times New Roman" w:hAnsi="Times New Roman"/>
          <w:sz w:val="20"/>
          <w:szCs w:val="20"/>
          <w:lang w:val="fi-FI"/>
        </w:rPr>
        <w:t>Jos teet lahjapyynnössäsi määritetyn ehdot täyttävän ostoksen työnantajallesi tai työantajasi puolesta, sitoudut toimittamaan viipymättä ohjelman puitteissa myönnetyn lahjan työnantajallesi ja toimittamaan pyynnöstä järjestäjälle todisteet tällaisesta toimituksesta.  Lisäksi olet yksin vastuussa siitä, että noudatat yrityksesi sääntöjä, jotka koskevat lahjojen vastaanottamista ja tämän ohjelman kaltaisiin kampanjoihin osallistumista.</w:t>
      </w:r>
    </w:p>
    <w:p w14:paraId="693BF29A" w14:textId="77777777" w:rsidR="005517A6" w:rsidRPr="00EF62FE" w:rsidRDefault="005517A6" w:rsidP="005517A6">
      <w:pPr>
        <w:pStyle w:val="OutlineL1"/>
        <w:numPr>
          <w:ilvl w:val="0"/>
          <w:numId w:val="0"/>
        </w:numPr>
        <w:spacing w:after="0"/>
        <w:ind w:left="270"/>
        <w:jc w:val="both"/>
        <w:rPr>
          <w:rFonts w:ascii="Times New Roman" w:eastAsia="Calibri" w:hAnsi="Times New Roman"/>
          <w:color w:val="auto"/>
          <w:sz w:val="20"/>
          <w:szCs w:val="24"/>
          <w:lang w:val="fi-FI"/>
        </w:rPr>
      </w:pPr>
    </w:p>
    <w:p w14:paraId="3BD6DC0E" w14:textId="77777777" w:rsidR="005517A6" w:rsidRPr="00EF62FE" w:rsidRDefault="005517A6" w:rsidP="005517A6">
      <w:pPr>
        <w:pStyle w:val="OutlineL1"/>
        <w:numPr>
          <w:ilvl w:val="0"/>
          <w:numId w:val="0"/>
        </w:numPr>
        <w:spacing w:after="0"/>
        <w:ind w:left="270"/>
        <w:jc w:val="both"/>
        <w:rPr>
          <w:rFonts w:ascii="Times New Roman" w:eastAsia="Calibri" w:hAnsi="Times New Roman"/>
          <w:color w:val="auto"/>
          <w:sz w:val="20"/>
          <w:szCs w:val="24"/>
          <w:lang w:val="fi-FI"/>
        </w:rPr>
      </w:pPr>
      <w:r>
        <w:rPr>
          <w:rFonts w:ascii="Times New Roman" w:hAnsi="Times New Roman"/>
          <w:color w:val="auto"/>
          <w:sz w:val="20"/>
          <w:lang w:val="fi-FI"/>
        </w:rPr>
        <w:t xml:space="preserve">Järjestäjän ja sen emoyhtiön, tytäryhtiöiden, (ali)jakelijoiden, asiamiesten, jälleenmyyjien, edustajien, suhdetoiminta-, mainos-, myynninedistämis- ja toteutusorganisaatioiden, ammatillisten neuvonantajien, konsulttien, verkkosivujen tarjoajien ja verkkosivujen ylläpitäjien työntekijät, päälliköt ja toimihenkilöt sekä heidän perheensä (vanhemmat, sisarukset, lapset ja puolisot asuinpaikasta riippumatta) ja samassa taloudessa asuvat henkilöt (sukulaiset tai muut) eivät saa osallistua tähän kampanjaan. Tämä kampanja myöskään sovellu </w:t>
      </w:r>
      <w:r>
        <w:rPr>
          <w:rFonts w:ascii="Times New Roman" w:hAnsi="Times New Roman"/>
          <w:color w:val="auto"/>
          <w:sz w:val="20"/>
          <w:lang w:val="fi-FI"/>
        </w:rPr>
        <w:lastRenderedPageBreak/>
        <w:t>sellaisille terveydenhuollon ammattilaisille, jotka ovat a) yksityishenkilöitä (tai entiteettejä), jotka osallistuvat terveydenhuoltopalvelujen tarjoamiseen potilaille, tai b) yksityishenkilöitä (tai entiteettejä), jotka ostavat, vuokraavat, suosittelevat, käyttävät, järjestävät ostettavaksi tai vuokrattavaksi tai määräävät potilaille järjestäjän lääketieteellisiä tuotteita tai palveluja terveydenhuollon ammattilaisten puolesta, mukaan lukien lääkäreiden myyntiedustajat, lääkäriklinikoiden johtajat ja terveydenhuoltoyhtiöiden osto-organisaatioiden johtohenkilöt. Järjestäjän jälleenmyyjien tai kilpailevien työkalunvalmistajien työntekijät, toimihenkilöt, päälliköt, edustajat tai asiamiehet eivät niin ikään ole kelpuutettuja osallistumaan tähän ohjelmaan.</w:t>
      </w:r>
    </w:p>
    <w:p w14:paraId="3CC4E452" w14:textId="77777777" w:rsidR="005517A6" w:rsidRPr="00EF62FE" w:rsidRDefault="005517A6" w:rsidP="005517A6">
      <w:pPr>
        <w:pStyle w:val="BodyText"/>
        <w:spacing w:after="0"/>
        <w:rPr>
          <w:rFonts w:ascii="Times New Roman" w:hAnsi="Times New Roman"/>
          <w:sz w:val="20"/>
          <w:lang w:val="fi-FI"/>
        </w:rPr>
      </w:pPr>
    </w:p>
    <w:p w14:paraId="21358358" w14:textId="77777777" w:rsidR="003433C9" w:rsidRPr="005517A6" w:rsidRDefault="003433C9" w:rsidP="000A4866">
      <w:pPr>
        <w:pStyle w:val="ListParagraph"/>
        <w:ind w:left="284"/>
        <w:jc w:val="both"/>
        <w:rPr>
          <w:sz w:val="20"/>
          <w:lang w:val="fi-FI"/>
        </w:rPr>
      </w:pPr>
    </w:p>
    <w:p w14:paraId="515866A8" w14:textId="213CD4DE" w:rsidR="00227B20" w:rsidRPr="00F805DE" w:rsidRDefault="003433C9" w:rsidP="00F805DE">
      <w:pPr>
        <w:pStyle w:val="ListParagraph"/>
        <w:numPr>
          <w:ilvl w:val="0"/>
          <w:numId w:val="14"/>
        </w:numPr>
        <w:jc w:val="both"/>
        <w:rPr>
          <w:sz w:val="20"/>
        </w:rPr>
      </w:pPr>
      <w:r>
        <w:rPr>
          <w:rFonts w:eastAsia="Times New Roman"/>
          <w:b/>
          <w:bCs/>
          <w:sz w:val="20"/>
          <w:szCs w:val="20"/>
          <w:lang w:val="fi-FI"/>
        </w:rPr>
        <w:t>Kampanjan tiedot</w:t>
      </w:r>
      <w:r>
        <w:rPr>
          <w:rFonts w:eastAsia="Times New Roman"/>
          <w:sz w:val="20"/>
          <w:szCs w:val="20"/>
          <w:lang w:val="fi-FI"/>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235F32FC" w:rsidR="00920FA5" w:rsidRPr="00307B32" w:rsidRDefault="003433C9" w:rsidP="00F805DE">
      <w:pPr>
        <w:pStyle w:val="ListParagraph"/>
        <w:numPr>
          <w:ilvl w:val="1"/>
          <w:numId w:val="14"/>
        </w:numPr>
        <w:jc w:val="both"/>
        <w:rPr>
          <w:sz w:val="20"/>
        </w:rPr>
      </w:pPr>
      <w:r>
        <w:rPr>
          <w:rFonts w:eastAsia="Times New Roman"/>
          <w:sz w:val="20"/>
          <w:szCs w:val="20"/>
          <w:lang w:val="fi-FI"/>
        </w:rPr>
        <w:t>Tee ehdot täyttävä ostos, joka sisältää jonkin seuraavista tuotteista valtuutetulta jälleenmyyjältä, jotka näkyvät </w:t>
      </w:r>
      <w:hyperlink r:id="rId15" w:history="1">
        <w:r>
          <w:rPr>
            <w:rFonts w:eastAsia="Times New Roman"/>
            <w:color w:val="0000FF"/>
            <w:sz w:val="20"/>
            <w:szCs w:val="20"/>
            <w:u w:val="single"/>
            <w:lang w:val="fi-FI"/>
          </w:rPr>
          <w:t>täällä</w:t>
        </w:r>
      </w:hyperlink>
      <w:r>
        <w:rPr>
          <w:rFonts w:eastAsia="Times New Roman"/>
          <w:sz w:val="20"/>
          <w:szCs w:val="20"/>
          <w:lang w:val="fi-FI"/>
        </w:rPr>
        <w:t xml:space="preserve">. </w:t>
      </w:r>
    </w:p>
    <w:p w14:paraId="7B956D38" w14:textId="77777777" w:rsidR="000B2D6B" w:rsidRDefault="000B2D6B" w:rsidP="000B2D6B">
      <w:pPr>
        <w:pStyle w:val="ListParagraph"/>
        <w:jc w:val="both"/>
        <w:rPr>
          <w:sz w:val="20"/>
        </w:rPr>
      </w:pPr>
    </w:p>
    <w:p w14:paraId="4E16D7D8" w14:textId="28B0122D" w:rsidR="006045CF" w:rsidRPr="006045CF" w:rsidRDefault="003433C9" w:rsidP="008941D4">
      <w:pPr>
        <w:pStyle w:val="ListParagraph"/>
        <w:numPr>
          <w:ilvl w:val="0"/>
          <w:numId w:val="13"/>
        </w:numPr>
        <w:ind w:left="993" w:hanging="284"/>
        <w:jc w:val="both"/>
        <w:rPr>
          <w:sz w:val="20"/>
        </w:rPr>
      </w:pPr>
      <w:r>
        <w:rPr>
          <w:rFonts w:eastAsia="Times New Roman"/>
          <w:sz w:val="20"/>
          <w:szCs w:val="20"/>
          <w:lang w:val="fi-FI"/>
        </w:rPr>
        <w:t xml:space="preserve">Fluke Industrial-tuotteet, jotka luetellaan osoitteessa </w:t>
      </w:r>
      <w:hyperlink r:id="rId16" w:history="1">
        <w:r w:rsidR="005517A6" w:rsidRPr="00A05288">
          <w:rPr>
            <w:rStyle w:val="Hyperlink"/>
            <w:rFonts w:eastAsia="Times New Roman"/>
            <w:sz w:val="20"/>
            <w:szCs w:val="20"/>
            <w:lang w:val="fi-FI"/>
          </w:rPr>
          <w:t>https://www.fluke.com/en-gb-products</w:t>
        </w:r>
      </w:hyperlink>
      <w:r w:rsidR="005517A6">
        <w:rPr>
          <w:rFonts w:eastAsia="Times New Roman"/>
          <w:sz w:val="20"/>
          <w:szCs w:val="20"/>
          <w:lang w:val="fi-FI"/>
        </w:rPr>
        <w:t xml:space="preserve"> </w:t>
      </w:r>
      <w:r>
        <w:rPr>
          <w:rFonts w:eastAsia="Times New Roman"/>
          <w:sz w:val="20"/>
          <w:szCs w:val="20"/>
          <w:lang w:val="fi-FI"/>
        </w:rPr>
        <w:t>;</w:t>
      </w:r>
    </w:p>
    <w:p w14:paraId="5D63454B" w14:textId="1A80A54F" w:rsidR="006045CF" w:rsidRPr="006045CF" w:rsidRDefault="003433C9" w:rsidP="008941D4">
      <w:pPr>
        <w:pStyle w:val="ListParagraph"/>
        <w:numPr>
          <w:ilvl w:val="0"/>
          <w:numId w:val="13"/>
        </w:numPr>
        <w:ind w:left="993" w:hanging="284"/>
        <w:jc w:val="both"/>
        <w:rPr>
          <w:sz w:val="20"/>
        </w:rPr>
      </w:pPr>
      <w:r>
        <w:rPr>
          <w:rFonts w:eastAsia="Times New Roman"/>
          <w:sz w:val="20"/>
          <w:szCs w:val="20"/>
          <w:lang w:val="fi-FI"/>
        </w:rPr>
        <w:t xml:space="preserve">Fluke Calibration -tuotteet, jotka luetellaan osoitteessa </w:t>
      </w:r>
      <w:hyperlink r:id="rId17" w:history="1">
        <w:r w:rsidR="005517A6" w:rsidRPr="00A05288">
          <w:rPr>
            <w:rStyle w:val="Hyperlink"/>
            <w:rFonts w:eastAsia="Times New Roman"/>
            <w:sz w:val="20"/>
            <w:szCs w:val="20"/>
            <w:lang w:val="fi-FI"/>
          </w:rPr>
          <w:t>https://eu.flukecal.com/products</w:t>
        </w:r>
      </w:hyperlink>
      <w:r w:rsidR="005517A6">
        <w:rPr>
          <w:rFonts w:eastAsia="Times New Roman"/>
          <w:sz w:val="20"/>
          <w:szCs w:val="20"/>
          <w:lang w:val="fi-FI"/>
        </w:rPr>
        <w:t xml:space="preserve"> </w:t>
      </w:r>
      <w:r>
        <w:rPr>
          <w:rFonts w:eastAsia="Times New Roman"/>
          <w:sz w:val="20"/>
          <w:szCs w:val="20"/>
          <w:lang w:val="fi-FI"/>
        </w:rPr>
        <w:t xml:space="preserve"> (pois lukien huoltosuunnitelmat ja kalibrointipalvelut) ja </w:t>
      </w:r>
    </w:p>
    <w:p w14:paraId="4466478E" w14:textId="3330261E" w:rsidR="006045CF" w:rsidRPr="006045CF" w:rsidRDefault="003433C9" w:rsidP="008941D4">
      <w:pPr>
        <w:pStyle w:val="ListParagraph"/>
        <w:numPr>
          <w:ilvl w:val="0"/>
          <w:numId w:val="13"/>
        </w:numPr>
        <w:ind w:left="993" w:hanging="284"/>
        <w:jc w:val="both"/>
        <w:rPr>
          <w:sz w:val="20"/>
        </w:rPr>
      </w:pPr>
      <w:r>
        <w:rPr>
          <w:rFonts w:eastAsia="Times New Roman"/>
          <w:sz w:val="20"/>
          <w:szCs w:val="20"/>
          <w:lang w:val="fi-FI"/>
        </w:rPr>
        <w:t xml:space="preserve">Fluke Networks -tuotteet, jotka luetellaan osoitteessa </w:t>
      </w:r>
      <w:hyperlink r:id="rId18" w:history="1">
        <w:r w:rsidR="005517A6" w:rsidRPr="00A05288">
          <w:rPr>
            <w:rStyle w:val="Hyperlink"/>
            <w:rFonts w:eastAsia="Times New Roman"/>
            <w:sz w:val="20"/>
            <w:szCs w:val="20"/>
            <w:lang w:val="fi-FI"/>
          </w:rPr>
          <w:t>www.flukenetworks.com</w:t>
        </w:r>
      </w:hyperlink>
      <w:r w:rsidR="005517A6">
        <w:rPr>
          <w:rFonts w:eastAsia="Times New Roman"/>
          <w:sz w:val="20"/>
          <w:szCs w:val="20"/>
          <w:lang w:val="fi-FI"/>
        </w:rPr>
        <w:t xml:space="preserve"> </w:t>
      </w:r>
      <w:r>
        <w:rPr>
          <w:rFonts w:eastAsia="Times New Roman"/>
          <w:sz w:val="20"/>
          <w:szCs w:val="20"/>
          <w:lang w:val="fi-FI"/>
        </w:rPr>
        <w:t>’</w:t>
      </w:r>
    </w:p>
    <w:p w14:paraId="22D3EF59" w14:textId="4FFFFD7D" w:rsidR="006045CF" w:rsidRPr="006045CF" w:rsidRDefault="003433C9" w:rsidP="008941D4">
      <w:pPr>
        <w:pStyle w:val="ListParagraph"/>
        <w:numPr>
          <w:ilvl w:val="0"/>
          <w:numId w:val="13"/>
        </w:numPr>
        <w:ind w:left="993" w:hanging="284"/>
        <w:jc w:val="both"/>
        <w:rPr>
          <w:sz w:val="20"/>
        </w:rPr>
      </w:pPr>
      <w:r>
        <w:rPr>
          <w:rFonts w:eastAsia="Times New Roman"/>
          <w:sz w:val="20"/>
          <w:szCs w:val="20"/>
          <w:lang w:val="fi-FI"/>
        </w:rPr>
        <w:t xml:space="preserve">Beha Amprobe -tuotteet, jotka luetellaan osoitteessa </w:t>
      </w:r>
      <w:hyperlink r:id="rId19" w:history="1">
        <w:r w:rsidR="005517A6" w:rsidRPr="00A05288">
          <w:rPr>
            <w:rStyle w:val="Hyperlink"/>
            <w:rFonts w:eastAsia="Times New Roman"/>
            <w:sz w:val="20"/>
            <w:szCs w:val="20"/>
            <w:lang w:val="fi-FI"/>
          </w:rPr>
          <w:t>www.beha-amprobe.com</w:t>
        </w:r>
      </w:hyperlink>
      <w:r w:rsidR="005517A6">
        <w:rPr>
          <w:rFonts w:eastAsia="Times New Roman"/>
          <w:sz w:val="20"/>
          <w:szCs w:val="20"/>
          <w:lang w:val="fi-FI"/>
        </w:rPr>
        <w:t xml:space="preserve"> </w:t>
      </w:r>
    </w:p>
    <w:p w14:paraId="7BF94599" w14:textId="77777777" w:rsidR="008941D4" w:rsidRDefault="008941D4" w:rsidP="006045CF">
      <w:pPr>
        <w:pStyle w:val="ListParagraph"/>
        <w:jc w:val="both"/>
        <w:rPr>
          <w:sz w:val="20"/>
        </w:rPr>
      </w:pPr>
    </w:p>
    <w:p w14:paraId="484C70E7" w14:textId="3A67CF7A" w:rsidR="000B2D6B" w:rsidRDefault="003433C9" w:rsidP="006045CF">
      <w:pPr>
        <w:pStyle w:val="ListParagraph"/>
        <w:jc w:val="both"/>
        <w:rPr>
          <w:sz w:val="20"/>
        </w:rPr>
      </w:pPr>
      <w:r>
        <w:rPr>
          <w:rFonts w:eastAsia="Times New Roman"/>
          <w:sz w:val="20"/>
          <w:szCs w:val="20"/>
          <w:lang w:val="fi-FI"/>
        </w:rPr>
        <w:t>Edellä oleva luettelo ei sisällä muita Fluken ja siihen liittyvien tuotemerkkien tuotteita, mukaan lukien Fluke Biomedical, Fluke Reliability Systems, Pomona, Comark, Irisys, eMaint-ohjelmisto ja Pacific Laser Systems.</w:t>
      </w:r>
    </w:p>
    <w:p w14:paraId="204EDC7E" w14:textId="77777777" w:rsidR="002A45D9" w:rsidRDefault="002A45D9" w:rsidP="006045CF">
      <w:pPr>
        <w:pStyle w:val="ListParagraph"/>
        <w:jc w:val="both"/>
        <w:rPr>
          <w:sz w:val="20"/>
        </w:rPr>
      </w:pPr>
    </w:p>
    <w:p w14:paraId="24E5917C" w14:textId="66EC3BD7" w:rsidR="002A45D9" w:rsidRPr="00332FA4" w:rsidRDefault="003433C9" w:rsidP="006045CF">
      <w:pPr>
        <w:pStyle w:val="ListParagraph"/>
        <w:jc w:val="both"/>
        <w:rPr>
          <w:sz w:val="20"/>
        </w:rPr>
      </w:pPr>
      <w:r>
        <w:rPr>
          <w:rFonts w:eastAsia="Times New Roman"/>
          <w:sz w:val="20"/>
          <w:szCs w:val="20"/>
          <w:lang w:val="fi-FI"/>
        </w:rPr>
        <w:t>Osallistumaan oikeutetut asiakkaat voivat lunastaa yhden (1) alla olevasta valikoimasta valitsemansa lahjan, joka vastaa asiakkaan kampanja-aikana ehdot täyttävästä tuotteesta maksamaa summaa (pois lukien ALV ja muuta myyntiverot, kuljetus-/käsittelymaksut ja muut lisämaksut). Jos laskuissa on näkyvissä muita kuin ehdot täyttäviä tuotteita, vain ehdot täyttävistä tuotteista muodostuva hinta huomioidaan lahjakategorian määrittämisessä. Lahjakategoriat ja niiden määritys näkyvät alla.</w:t>
      </w:r>
    </w:p>
    <w:p w14:paraId="2CCD8593" w14:textId="4B88CF07" w:rsidR="000C4619" w:rsidRDefault="000C4619" w:rsidP="00177E84">
      <w:pPr>
        <w:pStyle w:val="ListParagraph"/>
        <w:jc w:val="both"/>
        <w:rPr>
          <w:sz w:val="20"/>
        </w:rPr>
      </w:pPr>
    </w:p>
    <w:p w14:paraId="701203F0" w14:textId="31944ADF" w:rsidR="003433C9" w:rsidRDefault="00F51458" w:rsidP="003433C9">
      <w:pPr>
        <w:pStyle w:val="ListParagraph"/>
        <w:jc w:val="both"/>
        <w:rPr>
          <w:sz w:val="20"/>
        </w:rPr>
      </w:pPr>
      <w:r>
        <w:rPr>
          <w:noProof/>
        </w:rPr>
        <w:drawing>
          <wp:inline distT="0" distB="0" distL="0" distR="0" wp14:anchorId="21090AC1" wp14:editId="47292D17">
            <wp:extent cx="5943600" cy="2847975"/>
            <wp:effectExtent l="0" t="0" r="0" b="9525"/>
            <wp:docPr id="1765176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6027" name=""/>
                    <pic:cNvPicPr/>
                  </pic:nvPicPr>
                  <pic:blipFill>
                    <a:blip r:embed="rId20"/>
                    <a:stretch>
                      <a:fillRect/>
                    </a:stretch>
                  </pic:blipFill>
                  <pic:spPr>
                    <a:xfrm>
                      <a:off x="0" y="0"/>
                      <a:ext cx="5943600" cy="2847975"/>
                    </a:xfrm>
                    <a:prstGeom prst="rect">
                      <a:avLst/>
                    </a:prstGeom>
                  </pic:spPr>
                </pic:pic>
              </a:graphicData>
            </a:graphic>
          </wp:inline>
        </w:drawing>
      </w:r>
    </w:p>
    <w:p w14:paraId="30871D23" w14:textId="641EC611" w:rsidR="0096658F" w:rsidRDefault="0006242B" w:rsidP="00177E84">
      <w:pPr>
        <w:pStyle w:val="ListParagraph"/>
        <w:jc w:val="both"/>
        <w:rPr>
          <w:sz w:val="20"/>
        </w:rPr>
      </w:pPr>
      <w:r w:rsidRPr="0006242B">
        <w:rPr>
          <w:sz w:val="20"/>
        </w:rPr>
        <w:t xml:space="preserve">Fluke </w:t>
      </w:r>
      <w:proofErr w:type="spellStart"/>
      <w:r w:rsidRPr="0006242B">
        <w:rPr>
          <w:sz w:val="20"/>
        </w:rPr>
        <w:t>pidättää</w:t>
      </w:r>
      <w:proofErr w:type="spellEnd"/>
      <w:r w:rsidRPr="0006242B">
        <w:rPr>
          <w:sz w:val="20"/>
        </w:rPr>
        <w:t xml:space="preserve"> </w:t>
      </w:r>
      <w:proofErr w:type="spellStart"/>
      <w:r w:rsidRPr="0006242B">
        <w:rPr>
          <w:sz w:val="20"/>
        </w:rPr>
        <w:t>oikeuden</w:t>
      </w:r>
      <w:proofErr w:type="spellEnd"/>
      <w:r w:rsidRPr="0006242B">
        <w:rPr>
          <w:sz w:val="20"/>
        </w:rPr>
        <w:t xml:space="preserve"> </w:t>
      </w:r>
      <w:proofErr w:type="spellStart"/>
      <w:r w:rsidRPr="0006242B">
        <w:rPr>
          <w:sz w:val="20"/>
        </w:rPr>
        <w:t>korvata</w:t>
      </w:r>
      <w:proofErr w:type="spellEnd"/>
      <w:r w:rsidRPr="0006242B">
        <w:rPr>
          <w:sz w:val="20"/>
        </w:rPr>
        <w:t xml:space="preserve"> </w:t>
      </w:r>
      <w:proofErr w:type="spellStart"/>
      <w:r w:rsidRPr="0006242B">
        <w:rPr>
          <w:sz w:val="20"/>
        </w:rPr>
        <w:t>valittu</w:t>
      </w:r>
      <w:proofErr w:type="spellEnd"/>
      <w:r w:rsidRPr="0006242B">
        <w:rPr>
          <w:sz w:val="20"/>
        </w:rPr>
        <w:t xml:space="preserve"> </w:t>
      </w:r>
      <w:proofErr w:type="spellStart"/>
      <w:r w:rsidRPr="0006242B">
        <w:rPr>
          <w:sz w:val="20"/>
        </w:rPr>
        <w:t>lahja</w:t>
      </w:r>
      <w:proofErr w:type="spellEnd"/>
      <w:r w:rsidRPr="0006242B">
        <w:rPr>
          <w:sz w:val="20"/>
        </w:rPr>
        <w:t xml:space="preserve"> </w:t>
      </w:r>
      <w:proofErr w:type="spellStart"/>
      <w:r w:rsidRPr="0006242B">
        <w:rPr>
          <w:sz w:val="20"/>
        </w:rPr>
        <w:t>sopivalla</w:t>
      </w:r>
      <w:proofErr w:type="spellEnd"/>
      <w:r w:rsidRPr="0006242B">
        <w:rPr>
          <w:sz w:val="20"/>
        </w:rPr>
        <w:t xml:space="preserve"> </w:t>
      </w:r>
      <w:proofErr w:type="spellStart"/>
      <w:r w:rsidRPr="0006242B">
        <w:rPr>
          <w:sz w:val="20"/>
        </w:rPr>
        <w:t>samanarvoisella</w:t>
      </w:r>
      <w:proofErr w:type="spellEnd"/>
      <w:r w:rsidRPr="0006242B">
        <w:rPr>
          <w:sz w:val="20"/>
        </w:rPr>
        <w:t xml:space="preserve"> </w:t>
      </w:r>
      <w:proofErr w:type="spellStart"/>
      <w:r w:rsidRPr="0006242B">
        <w:rPr>
          <w:sz w:val="20"/>
        </w:rPr>
        <w:t>vaihtoehtoisella</w:t>
      </w:r>
      <w:proofErr w:type="spellEnd"/>
      <w:r w:rsidRPr="0006242B">
        <w:rPr>
          <w:sz w:val="20"/>
        </w:rPr>
        <w:t xml:space="preserve"> </w:t>
      </w:r>
      <w:proofErr w:type="spellStart"/>
      <w:r w:rsidRPr="0006242B">
        <w:rPr>
          <w:sz w:val="20"/>
        </w:rPr>
        <w:t>tuotteella</w:t>
      </w:r>
      <w:proofErr w:type="spellEnd"/>
      <w:r w:rsidRPr="0006242B">
        <w:rPr>
          <w:sz w:val="20"/>
        </w:rPr>
        <w:t xml:space="preserve"> (</w:t>
      </w:r>
      <w:proofErr w:type="spellStart"/>
      <w:r w:rsidRPr="0006242B">
        <w:rPr>
          <w:sz w:val="20"/>
        </w:rPr>
        <w:t>jonka</w:t>
      </w:r>
      <w:proofErr w:type="spellEnd"/>
      <w:r w:rsidRPr="0006242B">
        <w:rPr>
          <w:sz w:val="20"/>
        </w:rPr>
        <w:t xml:space="preserve"> </w:t>
      </w:r>
      <w:proofErr w:type="spellStart"/>
      <w:r w:rsidRPr="0006242B">
        <w:rPr>
          <w:sz w:val="20"/>
        </w:rPr>
        <w:t>sponsori</w:t>
      </w:r>
      <w:proofErr w:type="spellEnd"/>
      <w:r w:rsidRPr="0006242B">
        <w:rPr>
          <w:sz w:val="20"/>
        </w:rPr>
        <w:t xml:space="preserve"> </w:t>
      </w:r>
      <w:proofErr w:type="spellStart"/>
      <w:r w:rsidRPr="0006242B">
        <w:rPr>
          <w:sz w:val="20"/>
        </w:rPr>
        <w:t>määrittää</w:t>
      </w:r>
      <w:proofErr w:type="spellEnd"/>
      <w:r w:rsidRPr="0006242B">
        <w:rPr>
          <w:sz w:val="20"/>
        </w:rPr>
        <w:t xml:space="preserve"> </w:t>
      </w:r>
      <w:proofErr w:type="spellStart"/>
      <w:r w:rsidRPr="0006242B">
        <w:rPr>
          <w:sz w:val="20"/>
        </w:rPr>
        <w:t>oman</w:t>
      </w:r>
      <w:proofErr w:type="spellEnd"/>
      <w:r w:rsidRPr="0006242B">
        <w:rPr>
          <w:sz w:val="20"/>
        </w:rPr>
        <w:t xml:space="preserve"> </w:t>
      </w:r>
      <w:proofErr w:type="spellStart"/>
      <w:r w:rsidRPr="0006242B">
        <w:rPr>
          <w:sz w:val="20"/>
        </w:rPr>
        <w:t>harkintansa</w:t>
      </w:r>
      <w:proofErr w:type="spellEnd"/>
      <w:r w:rsidRPr="0006242B">
        <w:rPr>
          <w:sz w:val="20"/>
        </w:rPr>
        <w:t xml:space="preserve"> </w:t>
      </w:r>
      <w:proofErr w:type="spellStart"/>
      <w:r w:rsidRPr="0006242B">
        <w:rPr>
          <w:sz w:val="20"/>
        </w:rPr>
        <w:t>mukaan</w:t>
      </w:r>
      <w:proofErr w:type="spellEnd"/>
      <w:r w:rsidRPr="0006242B">
        <w:rPr>
          <w:sz w:val="20"/>
        </w:rPr>
        <w:t xml:space="preserve">), </w:t>
      </w:r>
      <w:proofErr w:type="spellStart"/>
      <w:r w:rsidRPr="0006242B">
        <w:rPr>
          <w:sz w:val="20"/>
        </w:rPr>
        <w:t>jos</w:t>
      </w:r>
      <w:proofErr w:type="spellEnd"/>
      <w:r w:rsidRPr="0006242B">
        <w:rPr>
          <w:sz w:val="20"/>
        </w:rPr>
        <w:t xml:space="preserve"> </w:t>
      </w:r>
      <w:proofErr w:type="spellStart"/>
      <w:r w:rsidRPr="0006242B">
        <w:rPr>
          <w:sz w:val="20"/>
        </w:rPr>
        <w:t>alun</w:t>
      </w:r>
      <w:proofErr w:type="spellEnd"/>
      <w:r w:rsidRPr="0006242B">
        <w:rPr>
          <w:sz w:val="20"/>
        </w:rPr>
        <w:t xml:space="preserve"> </w:t>
      </w:r>
      <w:proofErr w:type="spellStart"/>
      <w:r w:rsidRPr="0006242B">
        <w:rPr>
          <w:sz w:val="20"/>
        </w:rPr>
        <w:t>perin</w:t>
      </w:r>
      <w:proofErr w:type="spellEnd"/>
      <w:r w:rsidRPr="0006242B">
        <w:rPr>
          <w:sz w:val="20"/>
        </w:rPr>
        <w:t xml:space="preserve"> </w:t>
      </w:r>
      <w:proofErr w:type="spellStart"/>
      <w:r w:rsidRPr="0006242B">
        <w:rPr>
          <w:sz w:val="20"/>
        </w:rPr>
        <w:t>valittu</w:t>
      </w:r>
      <w:proofErr w:type="spellEnd"/>
      <w:r w:rsidRPr="0006242B">
        <w:rPr>
          <w:sz w:val="20"/>
        </w:rPr>
        <w:t xml:space="preserve"> </w:t>
      </w:r>
      <w:proofErr w:type="spellStart"/>
      <w:r w:rsidRPr="0006242B">
        <w:rPr>
          <w:sz w:val="20"/>
        </w:rPr>
        <w:t>lahja</w:t>
      </w:r>
      <w:proofErr w:type="spellEnd"/>
      <w:r w:rsidRPr="0006242B">
        <w:rPr>
          <w:sz w:val="20"/>
        </w:rPr>
        <w:t xml:space="preserve"> </w:t>
      </w:r>
      <w:proofErr w:type="spellStart"/>
      <w:r w:rsidRPr="0006242B">
        <w:rPr>
          <w:sz w:val="20"/>
        </w:rPr>
        <w:t>ei</w:t>
      </w:r>
      <w:proofErr w:type="spellEnd"/>
      <w:r w:rsidRPr="0006242B">
        <w:rPr>
          <w:sz w:val="20"/>
        </w:rPr>
        <w:t xml:space="preserve"> ole </w:t>
      </w:r>
      <w:proofErr w:type="spellStart"/>
      <w:r w:rsidRPr="0006242B">
        <w:rPr>
          <w:sz w:val="20"/>
        </w:rPr>
        <w:t>saatavilla</w:t>
      </w:r>
      <w:proofErr w:type="spellEnd"/>
      <w:r w:rsidRPr="0006242B">
        <w:rPr>
          <w:sz w:val="20"/>
        </w:rPr>
        <w:t xml:space="preserve"> tai </w:t>
      </w:r>
      <w:proofErr w:type="spellStart"/>
      <w:r w:rsidRPr="0006242B">
        <w:rPr>
          <w:sz w:val="20"/>
        </w:rPr>
        <w:t>sen</w:t>
      </w:r>
      <w:proofErr w:type="spellEnd"/>
      <w:r w:rsidRPr="0006242B">
        <w:rPr>
          <w:sz w:val="20"/>
        </w:rPr>
        <w:t xml:space="preserve"> </w:t>
      </w:r>
      <w:proofErr w:type="spellStart"/>
      <w:r w:rsidRPr="0006242B">
        <w:rPr>
          <w:sz w:val="20"/>
        </w:rPr>
        <w:t>toimitusaika</w:t>
      </w:r>
      <w:proofErr w:type="spellEnd"/>
      <w:r w:rsidRPr="0006242B">
        <w:rPr>
          <w:sz w:val="20"/>
        </w:rPr>
        <w:t xml:space="preserve"> </w:t>
      </w:r>
      <w:proofErr w:type="spellStart"/>
      <w:r w:rsidRPr="0006242B">
        <w:rPr>
          <w:sz w:val="20"/>
        </w:rPr>
        <w:t>pitenee</w:t>
      </w:r>
      <w:proofErr w:type="spellEnd"/>
      <w:r w:rsidRPr="0006242B">
        <w:rPr>
          <w:sz w:val="20"/>
        </w:rPr>
        <w:t xml:space="preserve">. </w:t>
      </w:r>
      <w:proofErr w:type="spellStart"/>
      <w:r w:rsidRPr="0006242B">
        <w:rPr>
          <w:sz w:val="20"/>
        </w:rPr>
        <w:t>Asiakkaille</w:t>
      </w:r>
      <w:proofErr w:type="spellEnd"/>
      <w:r w:rsidRPr="0006242B">
        <w:rPr>
          <w:sz w:val="20"/>
        </w:rPr>
        <w:t xml:space="preserve"> </w:t>
      </w:r>
      <w:proofErr w:type="spellStart"/>
      <w:r w:rsidRPr="0006242B">
        <w:rPr>
          <w:sz w:val="20"/>
        </w:rPr>
        <w:t>ilmoitetaan</w:t>
      </w:r>
      <w:proofErr w:type="spellEnd"/>
      <w:r w:rsidRPr="0006242B">
        <w:rPr>
          <w:sz w:val="20"/>
        </w:rPr>
        <w:t xml:space="preserve"> </w:t>
      </w:r>
      <w:proofErr w:type="spellStart"/>
      <w:r w:rsidRPr="0006242B">
        <w:rPr>
          <w:sz w:val="20"/>
        </w:rPr>
        <w:t>asianmukaisesti</w:t>
      </w:r>
      <w:proofErr w:type="spellEnd"/>
      <w:r w:rsidRPr="0006242B">
        <w:rPr>
          <w:sz w:val="20"/>
        </w:rPr>
        <w:t xml:space="preserve"> </w:t>
      </w:r>
      <w:proofErr w:type="spellStart"/>
      <w:r w:rsidRPr="0006242B">
        <w:rPr>
          <w:sz w:val="20"/>
        </w:rPr>
        <w:t>kaikista</w:t>
      </w:r>
      <w:proofErr w:type="spellEnd"/>
      <w:r w:rsidRPr="0006242B">
        <w:rPr>
          <w:sz w:val="20"/>
        </w:rPr>
        <w:t xml:space="preserve"> </w:t>
      </w:r>
      <w:proofErr w:type="spellStart"/>
      <w:r w:rsidRPr="0006242B">
        <w:rPr>
          <w:sz w:val="20"/>
        </w:rPr>
        <w:t>tällaisista</w:t>
      </w:r>
      <w:proofErr w:type="spellEnd"/>
      <w:r w:rsidRPr="0006242B">
        <w:rPr>
          <w:sz w:val="20"/>
        </w:rPr>
        <w:t xml:space="preserve"> </w:t>
      </w:r>
      <w:proofErr w:type="spellStart"/>
      <w:r w:rsidRPr="0006242B">
        <w:rPr>
          <w:sz w:val="20"/>
        </w:rPr>
        <w:t>muutoksista</w:t>
      </w:r>
      <w:proofErr w:type="spellEnd"/>
      <w:r w:rsidRPr="0006242B">
        <w:rPr>
          <w:sz w:val="20"/>
        </w:rPr>
        <w:t>.</w:t>
      </w:r>
    </w:p>
    <w:p w14:paraId="386A4FDE" w14:textId="77777777" w:rsidR="008F2A3A" w:rsidRPr="000A57BD" w:rsidRDefault="008F2A3A" w:rsidP="00177E84">
      <w:pPr>
        <w:pStyle w:val="ListParagraph"/>
        <w:jc w:val="both"/>
        <w:rPr>
          <w:sz w:val="20"/>
        </w:rPr>
      </w:pPr>
    </w:p>
    <w:p w14:paraId="2B2FDD51" w14:textId="58BAF7A9" w:rsidR="000A4866" w:rsidRPr="003433C9" w:rsidRDefault="003433C9" w:rsidP="00F805DE">
      <w:pPr>
        <w:pStyle w:val="ListParagraph"/>
        <w:numPr>
          <w:ilvl w:val="1"/>
          <w:numId w:val="14"/>
        </w:numPr>
        <w:jc w:val="both"/>
        <w:rPr>
          <w:sz w:val="20"/>
          <w:lang w:val="fi-FI"/>
        </w:rPr>
      </w:pPr>
      <w:r>
        <w:rPr>
          <w:rFonts w:eastAsia="Times New Roman"/>
          <w:sz w:val="20"/>
          <w:szCs w:val="20"/>
          <w:lang w:val="fi-FI"/>
        </w:rPr>
        <w:t>Rekisteröi hakemus kampanjan verkkorekisteröintilomakkeella osoittee</w:t>
      </w:r>
      <w:r w:rsidRPr="005517A6">
        <w:rPr>
          <w:rFonts w:eastAsia="Times New Roman"/>
          <w:sz w:val="20"/>
          <w:szCs w:val="20"/>
          <w:lang w:val="fi-FI"/>
        </w:rPr>
        <w:t xml:space="preserve">ssa </w:t>
      </w:r>
      <w:hyperlink r:id="rId21" w:history="1">
        <w:r w:rsidR="0006242B" w:rsidRPr="0031558E">
          <w:rPr>
            <w:rStyle w:val="Hyperlink"/>
            <w:rFonts w:eastAsia="Times New Roman"/>
            <w:sz w:val="20"/>
            <w:szCs w:val="20"/>
            <w:lang w:val="fi-FI"/>
          </w:rPr>
          <w:t>www.fluke.fi/freegift</w:t>
        </w:r>
      </w:hyperlink>
      <w:r w:rsidRPr="005517A6">
        <w:rPr>
          <w:rFonts w:eastAsia="Times New Roman"/>
          <w:sz w:val="20"/>
          <w:szCs w:val="20"/>
          <w:lang w:val="fi-FI"/>
        </w:rPr>
        <w:t>.</w:t>
      </w:r>
      <w:r>
        <w:rPr>
          <w:rFonts w:eastAsia="Times New Roman"/>
          <w:sz w:val="20"/>
          <w:szCs w:val="20"/>
          <w:lang w:val="fi-FI"/>
        </w:rPr>
        <w:t xml:space="preserve"> Kampanjalomake on täytettävä ja lähetettävä yhdessä selkeän, luettavan skannatun laskun kanssa ostotositteena, joka sisältää vähintään yhden (1) ohjelmakauden aikana ostetun, ehdot täyttävän </w:t>
      </w:r>
      <w:r>
        <w:rPr>
          <w:rFonts w:eastAsia="Times New Roman"/>
          <w:sz w:val="20"/>
          <w:szCs w:val="20"/>
          <w:lang w:val="fi-FI"/>
        </w:rPr>
        <w:lastRenderedPageBreak/>
        <w:t>oston. Pakkauslähetteet, ostotilaukset tai tilausvahvistukset eivät ole hyväksyttäviä tositteita ostosta. Tämän kampanjakauden ulkopuolella päivättyjä laskuja ei kelpuuteta eikä niitä huomioida. Ostotodistuksen lisäksi asiakkaan osoite on pakollinen tieto jotta lahja voidaan toimittaa.</w:t>
      </w:r>
    </w:p>
    <w:p w14:paraId="4BAE8F34" w14:textId="77777777" w:rsidR="00455ABE" w:rsidRPr="003433C9" w:rsidRDefault="00455ABE" w:rsidP="00464ABC">
      <w:pPr>
        <w:pStyle w:val="ListParagraph"/>
        <w:jc w:val="both"/>
        <w:rPr>
          <w:sz w:val="20"/>
          <w:lang w:val="fi-FI"/>
        </w:rPr>
      </w:pPr>
    </w:p>
    <w:p w14:paraId="323451E1" w14:textId="194C9050" w:rsidR="004B7015" w:rsidRPr="003433C9" w:rsidRDefault="003433C9" w:rsidP="00F805DE">
      <w:pPr>
        <w:pStyle w:val="ListParagraph"/>
        <w:numPr>
          <w:ilvl w:val="1"/>
          <w:numId w:val="14"/>
        </w:numPr>
        <w:jc w:val="both"/>
        <w:rPr>
          <w:sz w:val="20"/>
          <w:lang w:val="fi-FI"/>
        </w:rPr>
      </w:pPr>
      <w:r>
        <w:rPr>
          <w:rFonts w:eastAsia="Times New Roman"/>
          <w:sz w:val="20"/>
          <w:szCs w:val="20"/>
          <w:lang w:val="fi-FI"/>
        </w:rPr>
        <w:t>Asiakkaiden on valittava verkkorekisteröintilomakkeessa haluamansa lahja ostoon käyttämänsä summan mukaan.</w:t>
      </w:r>
    </w:p>
    <w:p w14:paraId="1F6DBF72" w14:textId="77777777" w:rsidR="00346B02" w:rsidRPr="003433C9" w:rsidRDefault="00346B02" w:rsidP="00464ABC">
      <w:pPr>
        <w:pStyle w:val="ListParagraph"/>
        <w:jc w:val="both"/>
        <w:rPr>
          <w:sz w:val="20"/>
          <w:lang w:val="fi-FI"/>
        </w:rPr>
      </w:pPr>
    </w:p>
    <w:p w14:paraId="7F9E017D" w14:textId="6F36ABE7" w:rsidR="00A741E1" w:rsidRPr="003433C9" w:rsidRDefault="003433C9" w:rsidP="00F805DE">
      <w:pPr>
        <w:pStyle w:val="ListParagraph"/>
        <w:numPr>
          <w:ilvl w:val="1"/>
          <w:numId w:val="14"/>
        </w:numPr>
        <w:jc w:val="both"/>
        <w:rPr>
          <w:kern w:val="2"/>
          <w:sz w:val="20"/>
          <w:lang w:val="fi-FI"/>
        </w:rPr>
      </w:pPr>
      <w:r>
        <w:rPr>
          <w:rFonts w:eastAsia="Times New Roman"/>
          <w:kern w:val="2"/>
          <w:sz w:val="20"/>
          <w:szCs w:val="20"/>
          <w:lang w:val="fi-FI"/>
        </w:rPr>
        <w:t>Huomaathan, että laskuja ei voi käyttää yhdessä tai käyttää useammin kuin kerran. Jos laskuissa on näkyvissä muita tuotteita ehdot täyttävän ostoksen / ehdot täyttävien ostosten lisäksi, vain ehdot täyttävästä ostoksesta / ehdot täyttävistä ostoksista muodostuva hinta huomioidaan arvioitaessa kelpuutusta lahjaan.</w:t>
      </w:r>
    </w:p>
    <w:p w14:paraId="6ED58CD9" w14:textId="77777777" w:rsidR="000A4866" w:rsidRPr="003433C9" w:rsidRDefault="000A4866" w:rsidP="000A4866">
      <w:pPr>
        <w:pStyle w:val="ListParagraph"/>
        <w:rPr>
          <w:rFonts w:cstheme="minorHAnsi"/>
          <w:sz w:val="20"/>
          <w:szCs w:val="18"/>
          <w:lang w:val="fi-FI"/>
        </w:rPr>
      </w:pPr>
    </w:p>
    <w:p w14:paraId="51124518" w14:textId="5BA77AB3" w:rsidR="00F5105E" w:rsidRPr="0006242B" w:rsidRDefault="003433C9" w:rsidP="00F805DE">
      <w:pPr>
        <w:pStyle w:val="ListParagraph"/>
        <w:numPr>
          <w:ilvl w:val="1"/>
          <w:numId w:val="14"/>
        </w:numPr>
        <w:jc w:val="both"/>
        <w:rPr>
          <w:sz w:val="20"/>
          <w:lang w:val="fi-FI"/>
        </w:rPr>
      </w:pPr>
      <w:r>
        <w:rPr>
          <w:rFonts w:eastAsia="Times New Roman" w:cs="Calibri"/>
          <w:sz w:val="20"/>
          <w:szCs w:val="20"/>
          <w:lang w:val="fi-FI"/>
        </w:rPr>
        <w:t xml:space="preserve">Järjestäjä ottaa kelvollisia hakemuksia vastaan </w:t>
      </w:r>
      <w:r>
        <w:rPr>
          <w:rFonts w:eastAsia="Times New Roman" w:cs="Calibri"/>
          <w:b/>
          <w:bCs/>
          <w:sz w:val="20"/>
          <w:szCs w:val="20"/>
          <w:lang w:val="fi-FI"/>
        </w:rPr>
        <w:t>3</w:t>
      </w:r>
      <w:r w:rsidR="0006242B">
        <w:rPr>
          <w:rFonts w:eastAsia="Times New Roman" w:cs="Calibri"/>
          <w:b/>
          <w:bCs/>
          <w:sz w:val="20"/>
          <w:szCs w:val="20"/>
          <w:lang w:val="fi-FI"/>
        </w:rPr>
        <w:t>1-08-2025</w:t>
      </w:r>
      <w:r>
        <w:rPr>
          <w:rFonts w:eastAsia="Times New Roman" w:cs="Calibri"/>
          <w:sz w:val="20"/>
          <w:szCs w:val="20"/>
          <w:lang w:val="fi-FI"/>
        </w:rPr>
        <w:t xml:space="preserve"> (</w:t>
      </w:r>
      <w:r>
        <w:rPr>
          <w:rFonts w:eastAsia="Times New Roman"/>
          <w:sz w:val="20"/>
          <w:szCs w:val="20"/>
          <w:lang w:val="fi-FI"/>
        </w:rPr>
        <w:t>“</w:t>
      </w:r>
      <w:r>
        <w:rPr>
          <w:rFonts w:eastAsia="Times New Roman" w:cs="Calibri"/>
          <w:b/>
          <w:bCs/>
          <w:sz w:val="20"/>
          <w:szCs w:val="20"/>
          <w:lang w:val="fi-FI"/>
        </w:rPr>
        <w:t>hakemusten eräpäivä</w:t>
      </w:r>
      <w:r>
        <w:rPr>
          <w:rFonts w:eastAsia="Times New Roman"/>
          <w:sz w:val="20"/>
          <w:szCs w:val="20"/>
          <w:lang w:val="fi-FI"/>
        </w:rPr>
        <w:t>”</w:t>
      </w:r>
      <w:r>
        <w:rPr>
          <w:rFonts w:eastAsia="Times New Roman" w:cs="Calibri"/>
          <w:sz w:val="20"/>
          <w:szCs w:val="20"/>
          <w:lang w:val="fi-FI"/>
        </w:rPr>
        <w:t xml:space="preserve">) asti.  Tämän päivämäärän jälkeen saapuneet hakemukset hylätään kelpaamattomina. </w:t>
      </w:r>
    </w:p>
    <w:p w14:paraId="2AA3E8DF" w14:textId="77777777" w:rsidR="000A4866" w:rsidRPr="0006242B" w:rsidRDefault="000A4866" w:rsidP="000A4866">
      <w:pPr>
        <w:pStyle w:val="ListParagraph"/>
        <w:jc w:val="both"/>
        <w:rPr>
          <w:sz w:val="20"/>
          <w:szCs w:val="20"/>
          <w:lang w:val="fi-FI"/>
        </w:rPr>
      </w:pPr>
    </w:p>
    <w:p w14:paraId="2AFAE8D2" w14:textId="68516D3E" w:rsidR="00F5105E" w:rsidRPr="003433C9" w:rsidRDefault="003433C9" w:rsidP="00F805DE">
      <w:pPr>
        <w:pStyle w:val="ListParagraph"/>
        <w:numPr>
          <w:ilvl w:val="1"/>
          <w:numId w:val="14"/>
        </w:numPr>
        <w:jc w:val="both"/>
        <w:rPr>
          <w:sz w:val="20"/>
          <w:szCs w:val="20"/>
          <w:lang w:val="fi-FI"/>
        </w:rPr>
      </w:pPr>
      <w:r>
        <w:rPr>
          <w:rFonts w:eastAsia="Times New Roman"/>
          <w:sz w:val="20"/>
          <w:szCs w:val="20"/>
          <w:lang w:val="fi-FI"/>
        </w:rPr>
        <w:t>Järjestäjä</w:t>
      </w:r>
      <w:r>
        <w:rPr>
          <w:rFonts w:eastAsia="Times New Roman" w:cs="Calibri"/>
          <w:sz w:val="20"/>
          <w:szCs w:val="20"/>
          <w:lang w:val="fi-FI"/>
        </w:rPr>
        <w:t xml:space="preserve"> </w:t>
      </w:r>
      <w:r>
        <w:rPr>
          <w:rFonts w:eastAsia="Times New Roman"/>
          <w:sz w:val="20"/>
          <w:szCs w:val="20"/>
          <w:lang w:val="fi-FI"/>
        </w:rPr>
        <w:t xml:space="preserve">tai sen edustajat </w:t>
      </w:r>
      <w:r>
        <w:rPr>
          <w:rFonts w:eastAsia="Times New Roman" w:cs="Calibri"/>
          <w:sz w:val="20"/>
          <w:szCs w:val="20"/>
          <w:lang w:val="fi-FI"/>
        </w:rPr>
        <w:t xml:space="preserve">tarkistavat lähetetyt </w:t>
      </w:r>
      <w:r>
        <w:rPr>
          <w:rFonts w:eastAsia="Times New Roman"/>
          <w:sz w:val="20"/>
          <w:szCs w:val="20"/>
          <w:lang w:val="fi-FI"/>
        </w:rPr>
        <w:t xml:space="preserve">hakemukset sekä toimitetut </w:t>
      </w:r>
      <w:r>
        <w:rPr>
          <w:rFonts w:eastAsia="Times New Roman" w:cs="Calibri"/>
          <w:sz w:val="20"/>
          <w:szCs w:val="20"/>
          <w:lang w:val="fi-FI"/>
        </w:rPr>
        <w:t>laskuista skannatut kuvat. Jos lomakkeessa on epäjohdonmukaisuuksia, järjestäjällä on oikeus oman harkintansa mukaisesti päättää asiakkaan kelpoisuudesta lahjan saamiseen. Jos järjestäjä määrittää, että asiakkaan hakemus ei täytä näitä ehtoja tai on muuten lukukelvoton, järjestäjä ilmoittaa tästä asiakkaalle.</w:t>
      </w:r>
    </w:p>
    <w:p w14:paraId="372FE9BB" w14:textId="77777777" w:rsidR="000A4866" w:rsidRPr="003433C9" w:rsidRDefault="000A4866" w:rsidP="000A4866">
      <w:pPr>
        <w:pStyle w:val="ListParagraph"/>
        <w:jc w:val="both"/>
        <w:rPr>
          <w:sz w:val="20"/>
          <w:szCs w:val="20"/>
          <w:lang w:val="fi-FI"/>
        </w:rPr>
      </w:pPr>
    </w:p>
    <w:p w14:paraId="54701A51" w14:textId="797D07A9" w:rsidR="00F5105E" w:rsidRPr="003433C9" w:rsidRDefault="003433C9" w:rsidP="00F805DE">
      <w:pPr>
        <w:pStyle w:val="ListParagraph"/>
        <w:numPr>
          <w:ilvl w:val="1"/>
          <w:numId w:val="14"/>
        </w:numPr>
        <w:jc w:val="both"/>
        <w:rPr>
          <w:sz w:val="20"/>
          <w:szCs w:val="20"/>
          <w:lang w:val="fi-FI"/>
        </w:rPr>
      </w:pPr>
      <w:r>
        <w:rPr>
          <w:rFonts w:eastAsia="Times New Roman" w:cs="Calibri"/>
          <w:sz w:val="20"/>
          <w:szCs w:val="20"/>
          <w:lang w:val="fi-FI"/>
        </w:rPr>
        <w:t xml:space="preserve">Järjestäjä tai sen edustajat lähettävät lahjan asiakkaan </w:t>
      </w:r>
      <w:r>
        <w:rPr>
          <w:rFonts w:eastAsia="Times New Roman"/>
          <w:sz w:val="20"/>
          <w:szCs w:val="20"/>
          <w:lang w:val="fi-FI"/>
        </w:rPr>
        <w:t>antamaan</w:t>
      </w:r>
      <w:r>
        <w:rPr>
          <w:rFonts w:eastAsia="Times New Roman" w:cs="Calibri"/>
          <w:sz w:val="20"/>
          <w:szCs w:val="20"/>
          <w:lang w:val="fi-FI"/>
        </w:rPr>
        <w:t xml:space="preserve"> osoitteeseen </w:t>
      </w:r>
      <w:r w:rsidR="00482BC7">
        <w:rPr>
          <w:rFonts w:eastAsia="Times New Roman" w:cs="Calibri"/>
          <w:sz w:val="20"/>
          <w:szCs w:val="20"/>
          <w:lang w:val="fi-FI"/>
        </w:rPr>
        <w:t>60-75</w:t>
      </w:r>
      <w:r>
        <w:rPr>
          <w:rFonts w:eastAsia="Times New Roman" w:cs="Calibri"/>
          <w:sz w:val="20"/>
          <w:szCs w:val="20"/>
          <w:lang w:val="fi-FI"/>
        </w:rPr>
        <w:t xml:space="preserve"> päivän sisällä hakemusten eräpäivästä.</w:t>
      </w:r>
    </w:p>
    <w:p w14:paraId="06732B85" w14:textId="77777777" w:rsidR="000A4866" w:rsidRPr="003433C9" w:rsidRDefault="000A4866" w:rsidP="000A4866">
      <w:pPr>
        <w:pStyle w:val="ListParagraph"/>
        <w:jc w:val="both"/>
        <w:rPr>
          <w:sz w:val="20"/>
          <w:szCs w:val="20"/>
          <w:lang w:val="fi-FI"/>
        </w:rPr>
      </w:pPr>
    </w:p>
    <w:p w14:paraId="3482C733" w14:textId="0EFF5580" w:rsidR="00F5105E" w:rsidRPr="003433C9" w:rsidRDefault="003433C9" w:rsidP="00F805DE">
      <w:pPr>
        <w:pStyle w:val="ListParagraph"/>
        <w:numPr>
          <w:ilvl w:val="1"/>
          <w:numId w:val="14"/>
        </w:numPr>
        <w:jc w:val="both"/>
        <w:rPr>
          <w:sz w:val="20"/>
          <w:szCs w:val="20"/>
          <w:lang w:val="fi-FI"/>
        </w:rPr>
      </w:pPr>
      <w:r>
        <w:rPr>
          <w:rFonts w:eastAsia="Times New Roman"/>
          <w:sz w:val="20"/>
          <w:szCs w:val="20"/>
          <w:lang w:val="fi-FI"/>
        </w:rPr>
        <w:t>Jos</w:t>
      </w:r>
      <w:r>
        <w:rPr>
          <w:rFonts w:eastAsia="Times New Roman" w:cs="Calibri"/>
          <w:sz w:val="20"/>
          <w:szCs w:val="20"/>
          <w:lang w:val="fi-FI"/>
        </w:rPr>
        <w:t xml:space="preserve"> asiakas ei saa </w:t>
      </w:r>
      <w:r>
        <w:rPr>
          <w:rFonts w:eastAsia="Times New Roman"/>
          <w:sz w:val="20"/>
          <w:szCs w:val="20"/>
          <w:lang w:val="fi-FI"/>
        </w:rPr>
        <w:t>lahjaa</w:t>
      </w:r>
      <w:r>
        <w:rPr>
          <w:rFonts w:eastAsia="Times New Roman" w:cs="Calibri"/>
          <w:sz w:val="20"/>
          <w:szCs w:val="20"/>
          <w:lang w:val="fi-FI"/>
        </w:rPr>
        <w:t xml:space="preserve">, hänen on ilmoitettava siitä viipymättä järjestäjälle, kuitenkin viimeistään </w:t>
      </w:r>
      <w:r>
        <w:rPr>
          <w:rFonts w:eastAsia="Times New Roman" w:cs="Calibri"/>
          <w:b/>
          <w:bCs/>
          <w:sz w:val="20"/>
          <w:szCs w:val="20"/>
          <w:lang w:val="fi-FI"/>
        </w:rPr>
        <w:t>3</w:t>
      </w:r>
      <w:r w:rsidR="0006242B">
        <w:rPr>
          <w:rFonts w:eastAsia="Times New Roman" w:cs="Calibri"/>
          <w:b/>
          <w:bCs/>
          <w:sz w:val="20"/>
          <w:szCs w:val="20"/>
          <w:lang w:val="fi-FI"/>
        </w:rPr>
        <w:t>0-09-2025</w:t>
      </w:r>
      <w:r>
        <w:rPr>
          <w:rFonts w:eastAsia="Times New Roman" w:cs="Calibri"/>
          <w:sz w:val="20"/>
          <w:szCs w:val="20"/>
          <w:lang w:val="fi-FI"/>
        </w:rPr>
        <w:t xml:space="preserve"> mennessä. Järjestäjä päättää itse, vastaako se tämän päivän jälkeen vastaanotettuihin saapumattomuusilmoituksiin.</w:t>
      </w:r>
    </w:p>
    <w:p w14:paraId="03270FB4" w14:textId="77777777" w:rsidR="006D63B1" w:rsidRPr="003433C9" w:rsidRDefault="006D63B1" w:rsidP="006D63B1">
      <w:pPr>
        <w:pStyle w:val="ListParagraph"/>
        <w:rPr>
          <w:sz w:val="20"/>
          <w:szCs w:val="20"/>
          <w:lang w:val="fi-FI"/>
        </w:rPr>
      </w:pPr>
    </w:p>
    <w:p w14:paraId="1782774A" w14:textId="0BD5E68B" w:rsidR="006D63B1" w:rsidRPr="003433C9" w:rsidRDefault="003433C9" w:rsidP="006D63B1">
      <w:pPr>
        <w:pStyle w:val="ListParagraph"/>
        <w:ind w:left="284"/>
        <w:jc w:val="both"/>
        <w:rPr>
          <w:sz w:val="20"/>
          <w:szCs w:val="20"/>
          <w:lang w:val="fi-FI"/>
        </w:rPr>
      </w:pPr>
      <w:r>
        <w:rPr>
          <w:rFonts w:eastAsia="Times New Roman"/>
          <w:sz w:val="20"/>
          <w:szCs w:val="20"/>
          <w:lang w:val="fi-FI"/>
        </w:rPr>
        <w:t>Lahjat on lähetettävä asiakkaan fyysiseen osoitteeseen.  Lahjoja ei voi lähettää postilaatikoihin, jälleenlähetysyhtiöihin tai jälleenmyyjille.  Lahjapyyntöjä koskevat lisätarkastukset voidaan tehdä järjestäjän yksinomaisen harkinnan mukaan, ja jos järjestäjä havaitsee petoksen tai näiden ehtojen noudattamatta jättämisen, järjestäjä voi oman harkintansa mukaan mitätöidä kyseisen lahjapyynnön, jolloin sitä ei hyväksytä.  Järjestäjä voi vaatia asiakkaita toimittamaan lisätodisteita ostoksesta, mukaan lukien ja rajoituksetta kuljetusliikkeen fyysiset koodit pakkauksesta, tuotteen sarjanumerot tai toimitustodistuksen.</w:t>
      </w:r>
    </w:p>
    <w:p w14:paraId="3A72A1FA" w14:textId="77777777" w:rsidR="00AE1F95" w:rsidRPr="003433C9" w:rsidRDefault="00AE1F95" w:rsidP="000A4866">
      <w:pPr>
        <w:pStyle w:val="OutlineL2"/>
        <w:numPr>
          <w:ilvl w:val="0"/>
          <w:numId w:val="0"/>
        </w:numPr>
        <w:ind w:left="270"/>
        <w:contextualSpacing/>
        <w:rPr>
          <w:rFonts w:ascii="Times New Roman" w:hAnsi="Times New Roman"/>
          <w:color w:val="auto"/>
          <w:sz w:val="20"/>
          <w:lang w:val="fi-FI"/>
        </w:rPr>
      </w:pPr>
    </w:p>
    <w:p w14:paraId="1A2B5DCC" w14:textId="4CE9D3AC" w:rsidR="00227B20" w:rsidRPr="003433C9" w:rsidRDefault="003433C9" w:rsidP="006D63B1">
      <w:pPr>
        <w:pStyle w:val="BodyText"/>
        <w:spacing w:after="0"/>
        <w:ind w:left="284"/>
        <w:jc w:val="both"/>
        <w:rPr>
          <w:rFonts w:ascii="Times New Roman" w:hAnsi="Times New Roman"/>
          <w:sz w:val="20"/>
          <w:lang w:val="fi-FI"/>
        </w:rPr>
      </w:pPr>
      <w:r>
        <w:rPr>
          <w:rFonts w:ascii="Times New Roman" w:eastAsia="Times New Roman" w:hAnsi="Times New Roman"/>
          <w:bCs/>
          <w:sz w:val="20"/>
          <w:szCs w:val="20"/>
          <w:lang w:val="fi-FI"/>
        </w:rPr>
        <w:t>Lahja toimitetaan erillään ehdot täyttävästä ostoksesta. Ehdot täyttävän ostoksen toimittaa valtuutettu jälleenmyyjä, jolta se on ostettu.</w:t>
      </w:r>
    </w:p>
    <w:p w14:paraId="3B68E56B" w14:textId="77777777" w:rsidR="00080806" w:rsidRPr="003433C9" w:rsidRDefault="00080806" w:rsidP="006D63B1">
      <w:pPr>
        <w:pStyle w:val="BodyText"/>
        <w:spacing w:after="0"/>
        <w:ind w:left="284"/>
        <w:jc w:val="both"/>
        <w:rPr>
          <w:rFonts w:ascii="Times New Roman" w:hAnsi="Times New Roman"/>
          <w:bCs/>
          <w:sz w:val="20"/>
          <w:szCs w:val="20"/>
          <w:lang w:val="fi-FI"/>
        </w:rPr>
      </w:pPr>
    </w:p>
    <w:p w14:paraId="009F1A76" w14:textId="4D0D7B13" w:rsidR="00080806" w:rsidRPr="003433C9" w:rsidRDefault="003433C9" w:rsidP="006D63B1">
      <w:pPr>
        <w:pStyle w:val="BodyText"/>
        <w:spacing w:after="0"/>
        <w:ind w:left="284"/>
        <w:jc w:val="both"/>
        <w:rPr>
          <w:rFonts w:ascii="Times New Roman" w:hAnsi="Times New Roman"/>
          <w:sz w:val="20"/>
          <w:szCs w:val="20"/>
          <w:lang w:val="fi-FI"/>
        </w:rPr>
      </w:pPr>
      <w:r>
        <w:rPr>
          <w:rFonts w:ascii="Times New Roman" w:eastAsia="Times New Roman" w:hAnsi="Times New Roman"/>
          <w:sz w:val="20"/>
          <w:szCs w:val="20"/>
          <w:lang w:val="fi-FI"/>
        </w:rPr>
        <w:t>Tämä kampanja on itsenäinen kampanja, eikä sitä voi yhdistää millään tavalla muihin kampanjoihin, tarjouksiin, alennuksiin tai kuponkeihin. Lahjaa ei voi saada muista palveluista tai ostoksista, eikä sitä voi yhdistää muihin erikoistarjouksiin, kampanjoihin tai sopimuksiin.</w:t>
      </w:r>
    </w:p>
    <w:p w14:paraId="44E30062" w14:textId="77777777" w:rsidR="00F5105E" w:rsidRDefault="00F5105E" w:rsidP="006D63B1">
      <w:pPr>
        <w:pStyle w:val="BodyText"/>
        <w:spacing w:after="0"/>
        <w:ind w:left="284"/>
        <w:rPr>
          <w:rFonts w:ascii="Times New Roman" w:hAnsi="Times New Roman"/>
          <w:sz w:val="20"/>
          <w:szCs w:val="20"/>
          <w:lang w:val="fi-FI"/>
        </w:rPr>
      </w:pPr>
    </w:p>
    <w:p w14:paraId="6023D511" w14:textId="386B13B4" w:rsidR="005517A6" w:rsidRPr="005517A6" w:rsidRDefault="005517A6" w:rsidP="005517A6">
      <w:pPr>
        <w:pStyle w:val="ListParagraph"/>
        <w:numPr>
          <w:ilvl w:val="0"/>
          <w:numId w:val="14"/>
        </w:numPr>
        <w:ind w:left="270" w:hanging="270"/>
        <w:jc w:val="both"/>
        <w:rPr>
          <w:sz w:val="20"/>
          <w:lang w:val="fi-FI"/>
        </w:rPr>
      </w:pPr>
      <w:r w:rsidRPr="005517A6">
        <w:rPr>
          <w:rFonts w:eastAsia="Times New Roman"/>
          <w:b/>
          <w:bCs/>
          <w:sz w:val="20"/>
          <w:szCs w:val="20"/>
          <w:lang w:val="fi-FI"/>
        </w:rPr>
        <w:t>Vastuuvapauslauseke</w:t>
      </w:r>
      <w:r w:rsidRPr="005517A6">
        <w:rPr>
          <w:rFonts w:eastAsia="Times New Roman"/>
          <w:sz w:val="20"/>
          <w:szCs w:val="20"/>
          <w:lang w:val="fi-FI"/>
        </w:rPr>
        <w:t>:  Järjestäjä ja kukin sen emoyhtiöistä, tytäryhtiöistä ja alayhtiöistä sekä niiden johtajat, virkailijat, ammatilliset neuvonantajat, edustajat, työntekijät ja edustajat (yhdessä ”</w:t>
      </w:r>
      <w:r w:rsidRPr="005517A6">
        <w:rPr>
          <w:rFonts w:eastAsia="Times New Roman"/>
          <w:b/>
          <w:bCs/>
          <w:i/>
          <w:iCs/>
          <w:sz w:val="20"/>
          <w:szCs w:val="20"/>
          <w:lang w:val="fi-FI"/>
        </w:rPr>
        <w:t>Vastuusta vapautetut osapuolet</w:t>
      </w:r>
      <w:r w:rsidRPr="005517A6">
        <w:rPr>
          <w:rFonts w:eastAsia="Times New Roman"/>
          <w:sz w:val="20"/>
          <w:szCs w:val="20"/>
          <w:lang w:val="fi-FI"/>
        </w:rPr>
        <w:t>” eivät ole vastuussa tai korvausvelvollisia: (a) myöhästyneistä, kadonneista, väärälle henkilölle päätyneistä, vääristyneistä tai vahingoittuneista lähetyksistä tai ostopyynnöistä; (b) puhelinten, sähkölaitteiden, laitteistojen, ohjelmistojen, verkkojen ja internetin toimintahäiriöistä tai -katkoista tai muista tietokoneisiin tai viestintään liittyvistä toimintahäiriöistä tai -katkoista, jotka ovat järjestäjän tai vastuusta vapautettujen osapuolten kohtuullisen vaikutusvallan ulkopuolella; (c) jostakin kampanjan keskeytyksestä, vammoista, vahingoista tai menetyksistä, jotka ovat aiheutuneet tapahtumista, jotka ovat järjestäjän kohtuullisen vaikutusvallan ulkopuolella tai jotka ovat seurausta valtuuttamattoman henkilön toimista, tai (d) joistakin kampanjan materiaaleihin liittyvistä kirjoitus- tai painovirheistä.</w:t>
      </w:r>
    </w:p>
    <w:p w14:paraId="59B1D387" w14:textId="77777777" w:rsidR="005517A6" w:rsidRPr="00EF62FE" w:rsidRDefault="005517A6" w:rsidP="005517A6">
      <w:pPr>
        <w:pStyle w:val="BodyText"/>
        <w:spacing w:after="0"/>
        <w:ind w:left="270"/>
        <w:rPr>
          <w:rFonts w:ascii="Times New Roman" w:hAnsi="Times New Roman"/>
          <w:sz w:val="20"/>
          <w:szCs w:val="20"/>
          <w:lang w:val="fi-FI"/>
        </w:rPr>
      </w:pPr>
    </w:p>
    <w:p w14:paraId="160CC088" w14:textId="2AB8BEC4" w:rsidR="005517A6" w:rsidRPr="005517A6" w:rsidRDefault="005517A6" w:rsidP="005517A6">
      <w:pPr>
        <w:pStyle w:val="ListParagraph"/>
        <w:numPr>
          <w:ilvl w:val="0"/>
          <w:numId w:val="14"/>
        </w:numPr>
        <w:ind w:left="270" w:hanging="270"/>
        <w:jc w:val="both"/>
        <w:rPr>
          <w:sz w:val="20"/>
          <w:lang w:val="fi-FI"/>
        </w:rPr>
      </w:pPr>
      <w:r w:rsidRPr="005517A6">
        <w:rPr>
          <w:rFonts w:eastAsia="Times New Roman"/>
          <w:b/>
          <w:bCs/>
          <w:sz w:val="20"/>
          <w:szCs w:val="20"/>
          <w:lang w:val="fi-FI"/>
        </w:rPr>
        <w:t>Vapautus vastuusta ja vahingonkorvausvastuusta</w:t>
      </w:r>
      <w:r w:rsidRPr="005517A6">
        <w:rPr>
          <w:rFonts w:eastAsia="Times New Roman"/>
          <w:sz w:val="20"/>
          <w:szCs w:val="20"/>
          <w:lang w:val="fi-FI"/>
        </w:rPr>
        <w:t xml:space="preserve">: Ellei toisin ole laissa kielletty, osallistumalla kampanjaan, sinä vapautat ja suostut vapauttamaan kunkin vapautetun osapuolen kaikesta vastuusta ja velvoitteista, jotka liittyvät vammoihin, korvausvaatimuksiin, haasteisiin, oikeustoimiin, kustannuksiin, kuluihin ja kaikenlaisiin menetyksiin tai vahinkoihin, mukaan lukien mahdollinen verovastuu tai mahdollisuuden menetys, joko suoraan, </w:t>
      </w:r>
      <w:r w:rsidRPr="005517A6">
        <w:rPr>
          <w:rFonts w:eastAsia="Times New Roman"/>
          <w:sz w:val="20"/>
          <w:szCs w:val="20"/>
          <w:lang w:val="fi-FI"/>
        </w:rPr>
        <w:lastRenderedPageBreak/>
        <w:t xml:space="preserve">epäsuorasti, erityisesti tai välillisesti, joita voidaan määrätä tällaiselle vapautetulle osapuolelle tai jotka ovat aiheutuneet tällaiselle vapautetulle osapuolelle, ja jotka johtuvat tästä kampanjasta ja sen nojalla tarjotuista kannustumista tai jotka liittyvät niihin jollakin tavalla, mukaan lukien ja rajoittumatta, jos tapaus johtuu seuraavista syistä tai liittyy niihin: (a) tekniset ongelmat tai laitteiston toimintahäiriöt (riippumatta siitä, onko ne järjestäjän hallinnassa vai ei) (b) virheellinen toimitus, varkaus, luvaton käyttö tai kolmannen osapuolen häirintä (c) mikä tahansa kampanjaan liittyvä osallistuminen tai pyyntö, joka on myöhässä, menetetty, muutettu, vahingoittunut tai suunnattu väärin (riippumatta siitä, onko järjestäjä vastaanottanut sen vai ei) ja johon järjestäjä ei ole voinut kohtuudella vaikuttaa (d) posti- tai kuriiripalvelun käytöstä aiheutuneet vahingot (e) osallistujalle aiheutunut verovelka ja (f) alennetun tuotteen tai kaupanpäällisen käyttö tai väärinkäytös (paitsi siltä osin kuin se kuuluu sovellettavan tuotetakuun piiriin).  </w:t>
      </w:r>
    </w:p>
    <w:p w14:paraId="0242D6C2" w14:textId="77777777" w:rsidR="005517A6" w:rsidRPr="00EF62FE" w:rsidRDefault="005517A6" w:rsidP="005517A6">
      <w:pPr>
        <w:pStyle w:val="BodyText"/>
        <w:spacing w:after="0"/>
        <w:rPr>
          <w:rFonts w:ascii="Times New Roman" w:hAnsi="Times New Roman"/>
          <w:sz w:val="20"/>
          <w:lang w:val="fi-FI"/>
        </w:rPr>
      </w:pPr>
    </w:p>
    <w:p w14:paraId="5935908A" w14:textId="630ED202" w:rsidR="005517A6" w:rsidRPr="00EF62FE" w:rsidRDefault="005517A6" w:rsidP="005517A6">
      <w:pPr>
        <w:pStyle w:val="ListParagraph"/>
        <w:numPr>
          <w:ilvl w:val="0"/>
          <w:numId w:val="14"/>
        </w:numPr>
        <w:ind w:left="284" w:hanging="284"/>
        <w:jc w:val="both"/>
        <w:rPr>
          <w:sz w:val="20"/>
          <w:lang w:val="fi-FI"/>
        </w:rPr>
      </w:pPr>
      <w:r>
        <w:rPr>
          <w:rFonts w:eastAsia="Times New Roman"/>
          <w:b/>
          <w:bCs/>
          <w:sz w:val="20"/>
          <w:szCs w:val="20"/>
          <w:lang w:val="fi-FI"/>
        </w:rPr>
        <w:t>Immateriaalioikeuksia koskeva ilmoitus</w:t>
      </w:r>
      <w:r>
        <w:rPr>
          <w:rFonts w:eastAsia="Times New Roman"/>
          <w:sz w:val="20"/>
          <w:szCs w:val="20"/>
          <w:lang w:val="fi-FI"/>
        </w:rPr>
        <w:t>:  Kampanja ja kaikki siihen liittyvät materiaalit nämä ehdot mukaan lukien ovat seuraavien tekijänoikeuksien alaisia: © 202</w:t>
      </w:r>
      <w:r w:rsidR="0006242B">
        <w:rPr>
          <w:rFonts w:eastAsia="Times New Roman"/>
          <w:sz w:val="20"/>
          <w:szCs w:val="20"/>
          <w:lang w:val="fi-FI"/>
        </w:rPr>
        <w:t>5</w:t>
      </w:r>
      <w:r>
        <w:rPr>
          <w:rFonts w:eastAsia="Times New Roman"/>
          <w:sz w:val="20"/>
          <w:szCs w:val="20"/>
          <w:lang w:val="fi-FI"/>
        </w:rPr>
        <w:t xml:space="preserve"> Fluke Europe B.V. Kaikki oikeudet pidätetään.</w:t>
      </w:r>
    </w:p>
    <w:p w14:paraId="76F6E396" w14:textId="77777777" w:rsidR="005517A6" w:rsidRPr="00EF62FE" w:rsidRDefault="005517A6" w:rsidP="005517A6">
      <w:pPr>
        <w:pStyle w:val="BodyText"/>
        <w:spacing w:after="0"/>
        <w:rPr>
          <w:rFonts w:ascii="Times New Roman" w:hAnsi="Times New Roman"/>
          <w:sz w:val="20"/>
          <w:lang w:val="fi-FI"/>
        </w:rPr>
      </w:pPr>
    </w:p>
    <w:p w14:paraId="7885E015" w14:textId="7BB63FB4" w:rsidR="005517A6" w:rsidRPr="00EF62FE" w:rsidRDefault="005517A6" w:rsidP="005517A6">
      <w:pPr>
        <w:pStyle w:val="ListParagraph"/>
        <w:numPr>
          <w:ilvl w:val="0"/>
          <w:numId w:val="14"/>
        </w:numPr>
        <w:ind w:left="284" w:hanging="284"/>
        <w:jc w:val="both"/>
        <w:rPr>
          <w:sz w:val="20"/>
          <w:lang w:val="fi-FI"/>
        </w:rPr>
      </w:pPr>
      <w:r>
        <w:rPr>
          <w:rFonts w:eastAsia="Times New Roman"/>
          <w:b/>
          <w:bCs/>
          <w:sz w:val="20"/>
          <w:szCs w:val="20"/>
          <w:lang w:val="fi-FI"/>
        </w:rPr>
        <w:t>Muut</w:t>
      </w:r>
      <w:r>
        <w:rPr>
          <w:rFonts w:eastAsia="Times New Roman"/>
          <w:sz w:val="20"/>
          <w:szCs w:val="20"/>
          <w:lang w:val="fi-FI"/>
        </w:rPr>
        <w:t xml:space="preserve">:  Kampanjaa sekä sen ehtoja hallinnoidaan ja tulkitaan sen maan lakien mukaisesti, jossa järjestäjän kotipaikka sijaitsee, huomioimatta ristiriitoja tai oikeusistuimen paikan valintaan liittyviä ehtoja, jotka voivat viitata minkä tahansa termin tulkintaan toisten tuomiovaltojen laeissa.  Tähän kampanjaan osallistuvia asiakkaita sitovat nämä ehdot sekä järjestäjän tekemät päätökset, jotka ovat kaikissa suhteissa lopullisia ja sitovia. Nämä ehdot ovat kampanjan kokonaisuudessaan muodostava sopimus ja asiakkaalle sitova. Muut sopimukset, suulliset tai muut, eivät ole kampanjan kannalta sitovia, elleivät ne ole kirjallisia ja järjestäjän allekirjoittamia. Jos jokin kampanjaan liittyvä asiakirja on ristiriidassa näiden ehtojen kanssa, nämä ehdot ovat ensisijaisia. Lain antamien enimmäisvapauksien puitteissa mitään vapauksia ei anneta mistään näistä ehdoista minkään asiakkaan ja järjestäjän välisen asian suhteen tai asiakkaan tai järjestäjän kyvyttömyydestä puolustaa tämän sopimuksen mukaisia oikeuksiaan milloin tahansa tai useissa tilanteissa. Sovellettavan lain antamien vapauksien täysissä puitteissa järjestäjä varaa itselleen oikeuden muuttaa näitä ehtoja milloin vain yksinomaisella päätöksellään ja keskeyttää tai perua kampanjan tai kenen tahansa henkilön osallistumisen siihen, jos tietokonevirukset, valtuuttamattomat ihmisen suorittamat toimet tai muut asiat, joihin järjestäjä ei voi kohtuudella vaikuttaa, vaikuttavat kampanjan hallinnoimiseen, turvallisuuteen tai toteutukseen, tai järjestäjästä tulee (yksinomaisella päätöksellään) kykenemätön kampanjan toteuttamiseen suunnitelman mukaisesti. Näin voi tapahtua myös muusta järjestäjän omalla päätöksellään määräämästä syystä.  Osallistujat, jotka rikkovat näitä ehtoja tai mitä tahansa lakia, säännöstä tai säädöstä osallistuessaan tähän kampanjaan, sekaantuvat kampanjan tai sen puitteissa tarjottujen osien toteuttamiseen tai aloittavat joitakin järjestäjää, kampanjaa tai muuta osallistujaa kohtaan vahingollisia tai epäreiluja menettelyjä (vahingollisuuden määrittely on järjestäjän yksinoikeus) evätään osallistuminen kampanjaan.  Jos sinulla on kysyttävää näistä ehdoista tai kampanjasta, lähetä sähköpostia osoitteeseen </w:t>
      </w:r>
      <w:hyperlink r:id="rId22" w:history="1">
        <w:r w:rsidRPr="00A05288">
          <w:rPr>
            <w:rStyle w:val="Hyperlink"/>
            <w:rFonts w:eastAsia="Times New Roman"/>
            <w:sz w:val="20"/>
            <w:szCs w:val="20"/>
            <w:lang w:val="fi-FI"/>
          </w:rPr>
          <w:t>ehv-marcom@fluke.nl</w:t>
        </w:r>
      </w:hyperlink>
      <w:r>
        <w:rPr>
          <w:rFonts w:eastAsia="Times New Roman"/>
          <w:sz w:val="20"/>
          <w:szCs w:val="20"/>
          <w:lang w:val="fi-FI"/>
        </w:rPr>
        <w:t>. Voit myös postittaa kysymyksesi seuraavaan osoitteeseen: Fluke Europe B.V., BIC 1, 5657 BX, Eindhoven, The Netherlands.</w:t>
      </w:r>
    </w:p>
    <w:p w14:paraId="42F289BA" w14:textId="77777777" w:rsidR="005517A6" w:rsidRPr="00EF62FE" w:rsidRDefault="005517A6" w:rsidP="005517A6">
      <w:pPr>
        <w:pStyle w:val="ListParagraph"/>
        <w:ind w:left="284"/>
        <w:jc w:val="both"/>
        <w:rPr>
          <w:sz w:val="20"/>
          <w:lang w:val="fi-FI"/>
        </w:rPr>
      </w:pPr>
    </w:p>
    <w:p w14:paraId="6D9A8766" w14:textId="77777777" w:rsidR="005517A6" w:rsidRPr="006D63B1" w:rsidRDefault="005517A6" w:rsidP="005517A6">
      <w:pPr>
        <w:pStyle w:val="ListParagraph"/>
        <w:numPr>
          <w:ilvl w:val="0"/>
          <w:numId w:val="14"/>
        </w:numPr>
        <w:ind w:left="284" w:hanging="284"/>
        <w:jc w:val="both"/>
        <w:rPr>
          <w:sz w:val="20"/>
        </w:rPr>
      </w:pPr>
      <w:r>
        <w:rPr>
          <w:rFonts w:eastAsia="Times New Roman"/>
          <w:sz w:val="20"/>
          <w:szCs w:val="20"/>
          <w:lang w:val="fi-FI"/>
        </w:rPr>
        <w:t xml:space="preserve">Järjestäjä käyttää asiakkaan järjestäjälle antamia henkilötietoja järjestäjän tietosuojakäytännön mukaan (luettavissa osoitteessa </w:t>
      </w:r>
      <w:hyperlink r:id="rId23" w:history="1">
        <w:r>
          <w:rPr>
            <w:rFonts w:eastAsia="Times New Roman"/>
            <w:color w:val="0000FF"/>
            <w:sz w:val="20"/>
            <w:szCs w:val="20"/>
            <w:u w:val="single"/>
            <w:lang w:val="fi-FI"/>
          </w:rPr>
          <w:t>http://en-us.fluke.com/site/privacy</w:t>
        </w:r>
      </w:hyperlink>
      <w:r>
        <w:rPr>
          <w:rFonts w:eastAsia="Times New Roman"/>
          <w:sz w:val="20"/>
          <w:szCs w:val="20"/>
          <w:lang w:val="fi-FI"/>
        </w:rPr>
        <w:t xml:space="preserve">). Jos sinulla on näihin ehtoihin tai kampanjaan liittyviä kysymyksiä, lähetä sähköpostia osoitteeseen </w:t>
      </w:r>
      <w:hyperlink r:id="rId24" w:history="1">
        <w:r>
          <w:rPr>
            <w:rFonts w:eastAsia="Times New Roman"/>
            <w:color w:val="0000FF"/>
            <w:sz w:val="20"/>
            <w:szCs w:val="20"/>
            <w:u w:val="single"/>
            <w:lang w:val="fi-FI"/>
          </w:rPr>
          <w:t>privacypolicy@fluke.com</w:t>
        </w:r>
      </w:hyperlink>
      <w:r>
        <w:rPr>
          <w:rFonts w:eastAsia="Times New Roman"/>
          <w:sz w:val="20"/>
          <w:szCs w:val="20"/>
          <w:lang w:val="fi-FI"/>
        </w:rPr>
        <w:t>. Voit myös postittaa kysymyksesi yllä olevaan osoitteeseen.</w:t>
      </w:r>
    </w:p>
    <w:p w14:paraId="06788642" w14:textId="77777777" w:rsidR="003433C9" w:rsidRPr="006D63B1" w:rsidRDefault="003433C9" w:rsidP="003433C9">
      <w:pPr>
        <w:rPr>
          <w:sz w:val="20"/>
        </w:rPr>
      </w:pPr>
    </w:p>
    <w:p w14:paraId="599BD3AE" w14:textId="77777777" w:rsidR="003433C9" w:rsidRPr="003433C9" w:rsidRDefault="003433C9" w:rsidP="006D63B1">
      <w:pPr>
        <w:pStyle w:val="BodyText"/>
        <w:spacing w:after="0"/>
        <w:ind w:left="284"/>
        <w:rPr>
          <w:rFonts w:ascii="Times New Roman" w:hAnsi="Times New Roman"/>
          <w:sz w:val="20"/>
          <w:szCs w:val="20"/>
        </w:rPr>
      </w:pPr>
    </w:p>
    <w:sectPr w:rsidR="003433C9" w:rsidRPr="003433C9"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36E5" w14:textId="77777777" w:rsidR="003433C9" w:rsidRDefault="003433C9">
      <w:r>
        <w:separator/>
      </w:r>
    </w:p>
  </w:endnote>
  <w:endnote w:type="continuationSeparator" w:id="0">
    <w:p w14:paraId="7504F8F0" w14:textId="77777777" w:rsidR="003433C9" w:rsidRDefault="0034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3433C9">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3433C9">
    <w:pPr>
      <w:pStyle w:val="Footer"/>
      <w:spacing w:line="200" w:lineRule="exact"/>
      <w:rPr>
        <w:rFonts w:ascii="Calibri" w:hAnsi="Calibri"/>
        <w:sz w:val="22"/>
        <w:szCs w:val="22"/>
      </w:rPr>
    </w:pPr>
    <w:r>
      <w:rPr>
        <w:rStyle w:val="zzmpTrailerItem"/>
        <w:rFonts w:eastAsia="Times New Roman"/>
        <w:lang w:val="fi-FI"/>
      </w:rPr>
      <w:t>132581448.4</w:t>
    </w:r>
    <w:r>
      <w:rPr>
        <w:rStyle w:val="zzmpTrailerItem"/>
        <w:rFonts w:eastAsia="Times New Roman"/>
        <w:sz w:val="24"/>
        <w:szCs w:val="24"/>
        <w:lang w:val="fi-F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3433C9">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3433C9">
    <w:pPr>
      <w:pStyle w:val="Footer"/>
      <w:spacing w:line="200" w:lineRule="exact"/>
      <w:rPr>
        <w:rFonts w:ascii="Calibri" w:hAnsi="Calibri"/>
        <w:noProof/>
        <w:sz w:val="22"/>
        <w:szCs w:val="22"/>
      </w:rPr>
    </w:pPr>
    <w:r>
      <w:rPr>
        <w:rStyle w:val="zzmpTrailerItem"/>
        <w:rFonts w:eastAsia="Times New Roman"/>
        <w:lang w:val="fi-FI"/>
      </w:rPr>
      <w:t>132581448.4</w:t>
    </w:r>
    <w:r>
      <w:rPr>
        <w:rStyle w:val="zzmpTrailerItem"/>
        <w:rFonts w:eastAsia="Times New Roman"/>
        <w:sz w:val="24"/>
        <w:szCs w:val="24"/>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80B7" w14:textId="77777777" w:rsidR="003433C9" w:rsidRDefault="003433C9">
      <w:r>
        <w:separator/>
      </w:r>
    </w:p>
  </w:footnote>
  <w:footnote w:type="continuationSeparator" w:id="0">
    <w:p w14:paraId="1FBB750A" w14:textId="77777777" w:rsidR="003433C9" w:rsidRDefault="0034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41942474">
      <w:start w:val="1"/>
      <w:numFmt w:val="bullet"/>
      <w:lvlText w:val=""/>
      <w:lvlJc w:val="left"/>
      <w:pPr>
        <w:ind w:left="1350" w:hanging="360"/>
      </w:pPr>
      <w:rPr>
        <w:rFonts w:ascii="Symbol" w:hAnsi="Symbol" w:hint="default"/>
      </w:rPr>
    </w:lvl>
    <w:lvl w:ilvl="1" w:tplc="FCE0C7B6">
      <w:start w:val="1"/>
      <w:numFmt w:val="bullet"/>
      <w:lvlText w:val="o"/>
      <w:lvlJc w:val="left"/>
      <w:pPr>
        <w:ind w:left="2070" w:hanging="360"/>
      </w:pPr>
      <w:rPr>
        <w:rFonts w:ascii="Courier New" w:hAnsi="Courier New" w:cs="Courier New" w:hint="default"/>
      </w:rPr>
    </w:lvl>
    <w:lvl w:ilvl="2" w:tplc="4D808C4E">
      <w:start w:val="1"/>
      <w:numFmt w:val="bullet"/>
      <w:lvlText w:val=""/>
      <w:lvlJc w:val="left"/>
      <w:pPr>
        <w:ind w:left="2790" w:hanging="360"/>
      </w:pPr>
      <w:rPr>
        <w:rFonts w:ascii="Wingdings" w:hAnsi="Wingdings" w:hint="default"/>
      </w:rPr>
    </w:lvl>
    <w:lvl w:ilvl="3" w:tplc="F4A8827E">
      <w:start w:val="1"/>
      <w:numFmt w:val="bullet"/>
      <w:lvlText w:val=""/>
      <w:lvlJc w:val="left"/>
      <w:pPr>
        <w:ind w:left="3510" w:hanging="360"/>
      </w:pPr>
      <w:rPr>
        <w:rFonts w:ascii="Symbol" w:hAnsi="Symbol" w:hint="default"/>
      </w:rPr>
    </w:lvl>
    <w:lvl w:ilvl="4" w:tplc="BC7EE068">
      <w:start w:val="1"/>
      <w:numFmt w:val="bullet"/>
      <w:lvlText w:val="o"/>
      <w:lvlJc w:val="left"/>
      <w:pPr>
        <w:ind w:left="4230" w:hanging="360"/>
      </w:pPr>
      <w:rPr>
        <w:rFonts w:ascii="Courier New" w:hAnsi="Courier New" w:cs="Courier New" w:hint="default"/>
      </w:rPr>
    </w:lvl>
    <w:lvl w:ilvl="5" w:tplc="845C3732">
      <w:start w:val="1"/>
      <w:numFmt w:val="bullet"/>
      <w:lvlText w:val=""/>
      <w:lvlJc w:val="left"/>
      <w:pPr>
        <w:ind w:left="4950" w:hanging="360"/>
      </w:pPr>
      <w:rPr>
        <w:rFonts w:ascii="Wingdings" w:hAnsi="Wingdings" w:hint="default"/>
      </w:rPr>
    </w:lvl>
    <w:lvl w:ilvl="6" w:tplc="F7AAEA68">
      <w:start w:val="1"/>
      <w:numFmt w:val="bullet"/>
      <w:lvlText w:val=""/>
      <w:lvlJc w:val="left"/>
      <w:pPr>
        <w:ind w:left="5670" w:hanging="360"/>
      </w:pPr>
      <w:rPr>
        <w:rFonts w:ascii="Symbol" w:hAnsi="Symbol" w:hint="default"/>
      </w:rPr>
    </w:lvl>
    <w:lvl w:ilvl="7" w:tplc="5980FC8E">
      <w:start w:val="1"/>
      <w:numFmt w:val="bullet"/>
      <w:lvlText w:val="o"/>
      <w:lvlJc w:val="left"/>
      <w:pPr>
        <w:ind w:left="6390" w:hanging="360"/>
      </w:pPr>
      <w:rPr>
        <w:rFonts w:ascii="Courier New" w:hAnsi="Courier New" w:cs="Courier New" w:hint="default"/>
      </w:rPr>
    </w:lvl>
    <w:lvl w:ilvl="8" w:tplc="70D86BE0">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FA2893FC">
      <w:start w:val="1"/>
      <w:numFmt w:val="decimal"/>
      <w:lvlText w:val="%1."/>
      <w:lvlJc w:val="left"/>
      <w:pPr>
        <w:ind w:left="630" w:hanging="360"/>
      </w:pPr>
    </w:lvl>
    <w:lvl w:ilvl="1" w:tplc="A600DA00">
      <w:start w:val="1"/>
      <w:numFmt w:val="lowerLetter"/>
      <w:lvlText w:val="%2."/>
      <w:lvlJc w:val="left"/>
      <w:pPr>
        <w:ind w:left="1350" w:hanging="360"/>
      </w:pPr>
    </w:lvl>
    <w:lvl w:ilvl="2" w:tplc="B65A29B6">
      <w:start w:val="1"/>
      <w:numFmt w:val="lowerRoman"/>
      <w:lvlText w:val="%3."/>
      <w:lvlJc w:val="right"/>
      <w:pPr>
        <w:ind w:left="2070" w:hanging="180"/>
      </w:pPr>
    </w:lvl>
    <w:lvl w:ilvl="3" w:tplc="9E1E6320">
      <w:start w:val="1"/>
      <w:numFmt w:val="decimal"/>
      <w:lvlText w:val="%4."/>
      <w:lvlJc w:val="left"/>
      <w:pPr>
        <w:ind w:left="2790" w:hanging="360"/>
      </w:pPr>
    </w:lvl>
    <w:lvl w:ilvl="4" w:tplc="30DE347C">
      <w:start w:val="1"/>
      <w:numFmt w:val="lowerLetter"/>
      <w:lvlText w:val="%5."/>
      <w:lvlJc w:val="left"/>
      <w:pPr>
        <w:ind w:left="3510" w:hanging="360"/>
      </w:pPr>
    </w:lvl>
    <w:lvl w:ilvl="5" w:tplc="DB642EA8">
      <w:start w:val="1"/>
      <w:numFmt w:val="lowerRoman"/>
      <w:lvlText w:val="%6."/>
      <w:lvlJc w:val="right"/>
      <w:pPr>
        <w:ind w:left="4230" w:hanging="180"/>
      </w:pPr>
    </w:lvl>
    <w:lvl w:ilvl="6" w:tplc="29F4D952">
      <w:start w:val="1"/>
      <w:numFmt w:val="decimal"/>
      <w:lvlText w:val="%7."/>
      <w:lvlJc w:val="left"/>
      <w:pPr>
        <w:ind w:left="4950" w:hanging="360"/>
      </w:pPr>
    </w:lvl>
    <w:lvl w:ilvl="7" w:tplc="C97642DE">
      <w:start w:val="1"/>
      <w:numFmt w:val="lowerLetter"/>
      <w:lvlText w:val="%8."/>
      <w:lvlJc w:val="left"/>
      <w:pPr>
        <w:ind w:left="5670" w:hanging="360"/>
      </w:pPr>
    </w:lvl>
    <w:lvl w:ilvl="8" w:tplc="B1220724">
      <w:start w:val="1"/>
      <w:numFmt w:val="lowerRoman"/>
      <w:lvlText w:val="%9."/>
      <w:lvlJc w:val="right"/>
      <w:pPr>
        <w:ind w:left="6390" w:hanging="180"/>
      </w:pPr>
    </w:lvl>
  </w:abstractNum>
  <w:abstractNum w:abstractNumId="2" w15:restartNumberingAfterBreak="0">
    <w:nsid w:val="2E16302E"/>
    <w:multiLevelType w:val="hybridMultilevel"/>
    <w:tmpl w:val="199AAE14"/>
    <w:lvl w:ilvl="0" w:tplc="56F2DE24">
      <w:start w:val="1"/>
      <w:numFmt w:val="bullet"/>
      <w:lvlText w:val=""/>
      <w:lvlJc w:val="left"/>
      <w:pPr>
        <w:ind w:left="1440" w:hanging="360"/>
      </w:pPr>
      <w:rPr>
        <w:rFonts w:ascii="Symbol" w:hAnsi="Symbol" w:hint="default"/>
      </w:rPr>
    </w:lvl>
    <w:lvl w:ilvl="1" w:tplc="AA785E1C" w:tentative="1">
      <w:start w:val="1"/>
      <w:numFmt w:val="bullet"/>
      <w:lvlText w:val="o"/>
      <w:lvlJc w:val="left"/>
      <w:pPr>
        <w:ind w:left="2160" w:hanging="360"/>
      </w:pPr>
      <w:rPr>
        <w:rFonts w:ascii="Courier New" w:hAnsi="Courier New" w:cs="Courier New" w:hint="default"/>
      </w:rPr>
    </w:lvl>
    <w:lvl w:ilvl="2" w:tplc="BCBC1102" w:tentative="1">
      <w:start w:val="1"/>
      <w:numFmt w:val="bullet"/>
      <w:lvlText w:val=""/>
      <w:lvlJc w:val="left"/>
      <w:pPr>
        <w:ind w:left="2880" w:hanging="360"/>
      </w:pPr>
      <w:rPr>
        <w:rFonts w:ascii="Wingdings" w:hAnsi="Wingdings" w:hint="default"/>
      </w:rPr>
    </w:lvl>
    <w:lvl w:ilvl="3" w:tplc="FE7C8A64" w:tentative="1">
      <w:start w:val="1"/>
      <w:numFmt w:val="bullet"/>
      <w:lvlText w:val=""/>
      <w:lvlJc w:val="left"/>
      <w:pPr>
        <w:ind w:left="3600" w:hanging="360"/>
      </w:pPr>
      <w:rPr>
        <w:rFonts w:ascii="Symbol" w:hAnsi="Symbol" w:hint="default"/>
      </w:rPr>
    </w:lvl>
    <w:lvl w:ilvl="4" w:tplc="C2DC1402" w:tentative="1">
      <w:start w:val="1"/>
      <w:numFmt w:val="bullet"/>
      <w:lvlText w:val="o"/>
      <w:lvlJc w:val="left"/>
      <w:pPr>
        <w:ind w:left="4320" w:hanging="360"/>
      </w:pPr>
      <w:rPr>
        <w:rFonts w:ascii="Courier New" w:hAnsi="Courier New" w:cs="Courier New" w:hint="default"/>
      </w:rPr>
    </w:lvl>
    <w:lvl w:ilvl="5" w:tplc="FF948D6A" w:tentative="1">
      <w:start w:val="1"/>
      <w:numFmt w:val="bullet"/>
      <w:lvlText w:val=""/>
      <w:lvlJc w:val="left"/>
      <w:pPr>
        <w:ind w:left="5040" w:hanging="360"/>
      </w:pPr>
      <w:rPr>
        <w:rFonts w:ascii="Wingdings" w:hAnsi="Wingdings" w:hint="default"/>
      </w:rPr>
    </w:lvl>
    <w:lvl w:ilvl="6" w:tplc="AE22E956" w:tentative="1">
      <w:start w:val="1"/>
      <w:numFmt w:val="bullet"/>
      <w:lvlText w:val=""/>
      <w:lvlJc w:val="left"/>
      <w:pPr>
        <w:ind w:left="5760" w:hanging="360"/>
      </w:pPr>
      <w:rPr>
        <w:rFonts w:ascii="Symbol" w:hAnsi="Symbol" w:hint="default"/>
      </w:rPr>
    </w:lvl>
    <w:lvl w:ilvl="7" w:tplc="28468E2E" w:tentative="1">
      <w:start w:val="1"/>
      <w:numFmt w:val="bullet"/>
      <w:lvlText w:val="o"/>
      <w:lvlJc w:val="left"/>
      <w:pPr>
        <w:ind w:left="6480" w:hanging="360"/>
      </w:pPr>
      <w:rPr>
        <w:rFonts w:ascii="Courier New" w:hAnsi="Courier New" w:cs="Courier New" w:hint="default"/>
      </w:rPr>
    </w:lvl>
    <w:lvl w:ilvl="8" w:tplc="E912F0D0"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AED23AD0">
      <w:start w:val="3"/>
      <w:numFmt w:val="decimal"/>
      <w:lvlText w:val="%1)"/>
      <w:lvlJc w:val="left"/>
      <w:pPr>
        <w:ind w:left="720" w:hanging="360"/>
      </w:pPr>
      <w:rPr>
        <w:rFonts w:hint="default"/>
        <w:b/>
      </w:rPr>
    </w:lvl>
    <w:lvl w:ilvl="1" w:tplc="C3B477CE">
      <w:start w:val="1"/>
      <w:numFmt w:val="lowerLetter"/>
      <w:lvlText w:val="%2."/>
      <w:lvlJc w:val="left"/>
      <w:pPr>
        <w:ind w:left="1440" w:hanging="360"/>
      </w:pPr>
    </w:lvl>
    <w:lvl w:ilvl="2" w:tplc="9C04EA0A" w:tentative="1">
      <w:start w:val="1"/>
      <w:numFmt w:val="lowerRoman"/>
      <w:lvlText w:val="%3."/>
      <w:lvlJc w:val="right"/>
      <w:pPr>
        <w:ind w:left="2160" w:hanging="180"/>
      </w:pPr>
    </w:lvl>
    <w:lvl w:ilvl="3" w:tplc="4858B148" w:tentative="1">
      <w:start w:val="1"/>
      <w:numFmt w:val="decimal"/>
      <w:lvlText w:val="%4."/>
      <w:lvlJc w:val="left"/>
      <w:pPr>
        <w:ind w:left="2880" w:hanging="360"/>
      </w:pPr>
    </w:lvl>
    <w:lvl w:ilvl="4" w:tplc="92204578" w:tentative="1">
      <w:start w:val="1"/>
      <w:numFmt w:val="lowerLetter"/>
      <w:lvlText w:val="%5."/>
      <w:lvlJc w:val="left"/>
      <w:pPr>
        <w:ind w:left="3600" w:hanging="360"/>
      </w:pPr>
    </w:lvl>
    <w:lvl w:ilvl="5" w:tplc="927C4730" w:tentative="1">
      <w:start w:val="1"/>
      <w:numFmt w:val="lowerRoman"/>
      <w:lvlText w:val="%6."/>
      <w:lvlJc w:val="right"/>
      <w:pPr>
        <w:ind w:left="4320" w:hanging="180"/>
      </w:pPr>
    </w:lvl>
    <w:lvl w:ilvl="6" w:tplc="5F36F766" w:tentative="1">
      <w:start w:val="1"/>
      <w:numFmt w:val="decimal"/>
      <w:lvlText w:val="%7."/>
      <w:lvlJc w:val="left"/>
      <w:pPr>
        <w:ind w:left="5040" w:hanging="360"/>
      </w:pPr>
    </w:lvl>
    <w:lvl w:ilvl="7" w:tplc="A3C072E0" w:tentative="1">
      <w:start w:val="1"/>
      <w:numFmt w:val="lowerLetter"/>
      <w:lvlText w:val="%8."/>
      <w:lvlJc w:val="left"/>
      <w:pPr>
        <w:ind w:left="5760" w:hanging="360"/>
      </w:pPr>
    </w:lvl>
    <w:lvl w:ilvl="8" w:tplc="9104EA68"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6242B"/>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2AC1"/>
    <w:rsid w:val="002F6059"/>
    <w:rsid w:val="002F75B3"/>
    <w:rsid w:val="0030593C"/>
    <w:rsid w:val="00307B32"/>
    <w:rsid w:val="0032001B"/>
    <w:rsid w:val="00324A57"/>
    <w:rsid w:val="00327B50"/>
    <w:rsid w:val="00330C89"/>
    <w:rsid w:val="00332FA4"/>
    <w:rsid w:val="00335E81"/>
    <w:rsid w:val="0034146D"/>
    <w:rsid w:val="003433C9"/>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82BC7"/>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517A6"/>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1458"/>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fi/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fi/freegift" TargetMode="External"/><Relationship Id="rId7" Type="http://schemas.openxmlformats.org/officeDocument/2006/relationships/styles" Target="styles.xml"/><Relationship Id="rId12" Type="http://schemas.openxmlformats.org/officeDocument/2006/relationships/hyperlink" Target="http://www.fluke.fi/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fi-fi/jalleenmyyjat"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fi-fi/jalleenmyyjat"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3.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4.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2025-01-23T13:58:00Z</dcterms:created>
  <dcterms:modified xsi:type="dcterms:W3CDTF">2025-01-29T14:06:00Z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